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5  ·  ISO 27001 ANNEX A CONTROLS</w:t>
      </w:r>
    </w:p>
    <w:p>
      <w:pPr>
        <w:spacing w:after="80"/>
      </w:pPr>
      <w:r>
        <w:rPr>
          <w:rFonts w:ascii="Arial" w:cs="Arial" w:eastAsia="Arial" w:hAnsi="Arial"/>
          <w:b/>
          <w:bCs/>
          <w:caps/>
          <w:color w:val="4B5563"/>
          <w:sz w:val="18"/>
          <w:szCs w:val="18"/>
        </w:rPr>
        <w:t xml:space="preserve">ARTICLE 5.5  ·  TECHNOLOGICAL CONTROLS (DOMAIN 8)</w:t>
      </w:r>
    </w:p>
    <w:p>
      <w:pPr>
        <w:pStyle w:val="Heading1"/>
        <w:spacing w:after="120"/>
      </w:pPr>
      <w:r>
        <w:rPr>
          <w:rFonts w:ascii="Arial" w:cs="Arial" w:eastAsia="Arial" w:hAnsi="Arial"/>
          <w:b/>
          <w:bCs/>
          <w:color w:val="1B3A5C"/>
          <w:sz w:val="44"/>
          <w:szCs w:val="44"/>
        </w:rPr>
        <w:t xml:space="preserve">Technological Controls (Domain 8)</w:t>
      </w:r>
    </w:p>
    <w:p>
      <w:pPr>
        <w:spacing w:after="60"/>
      </w:pPr>
      <w:r>
        <w:rPr>
          <w:rFonts w:ascii="Georgia" w:cs="Georgia" w:eastAsia="Georgia" w:hAnsi="Georgia"/>
          <w:i/>
          <w:iCs/>
          <w:color w:val="4B5563"/>
          <w:sz w:val="24"/>
          <w:szCs w:val="24"/>
        </w:rPr>
        <w:t xml:space="preserve">A complete practitioner reference for all 34 technological controls — covering access and identity, operational security, configuration management, data protection, resilience, logging and monitoring, infrastructure security, cryptography, and the full secure development lifecycle — with deep dives into all 7 new 2022 controls, the top 7 audit findings in Domain 8, and Indonesian regulatory context throughout.</w:t>
      </w:r>
    </w:p>
    <w:p>
      <w:pPr>
        <w:spacing w:after="40"/>
      </w:pPr>
      <w:r>
        <w:rPr>
          <w:rFonts w:ascii="Arial" w:cs="Arial" w:eastAsia="Arial" w:hAnsi="Arial"/>
          <w:color w:val="9CA3AF"/>
          <w:sz w:val="18"/>
          <w:szCs w:val="18"/>
        </w:rPr>
        <w:t xml:space="preserve">Bitlion GRC Documentation  ·  Updated March 2026  ·  Reading time: ~22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Domain 8 is the largest of the four Annex A domains — 34 controls covering the complete technical security architecture of an organization. It contains the highest density of controls that directly prevent, detect, and respond to attacks: the MFA deployment that blocks credential compromise, the vulnerability scanning that closes the gaps before attackers find them, the SIEM that detects the anomaly before it becomes a breach, and the secure coding standard that prevents the vulnerability from existing in the first place.</w:t>
      </w:r>
    </w:p>
    <w:p>
      <w:pPr>
        <w:spacing w:after="80"/>
      </w:pPr>
      <w:r>
        <w:t xml:space="preserve"/>
      </w:r>
    </w:p>
    <w:p>
      <w:pPr>
        <w:spacing w:after="160" w:line="320"/>
        <w:jc w:val="both"/>
      </w:pPr>
      <w:r>
        <w:rPr>
          <w:rFonts w:ascii="Georgia" w:cs="Georgia" w:eastAsia="Georgia" w:hAnsi="Georgia"/>
          <w:color w:val="111827"/>
          <w:sz w:val="22"/>
          <w:szCs w:val="22"/>
        </w:rPr>
        <w:t xml:space="preserve">The 2022 revision added 7 new controls to Domain 8 — more than any other domain. These 7 controls (configuration management, information deletion, data masking, data leakage prevention, monitoring activities, web filtering, and secure coding) reflect the security challenges that have become central to the threat landscape in the decade since 2013: cloud infrastructure drift, personal data exposure in non-production environments, and the dramatic shift of attack surface into application-layer vulnerabilities. For Indonesian organizations navigating UU PDP enforcement, controls 8.10 (deletion), 8.11 (masking), and 8.12 (DLP) are directly tied to regulatory obligations.</w:t>
      </w:r>
    </w:p>
    <w:p>
      <w:pPr>
        <w:spacing w:after="80"/>
      </w:pPr>
      <w:r>
        <w:t xml:space="preserve"/>
      </w:r>
    </w:p>
    <w:p>
      <w:pPr>
        <w:spacing w:after="160" w:line="320"/>
        <w:jc w:val="both"/>
      </w:pPr>
      <w:r>
        <w:rPr>
          <w:rFonts w:ascii="Georgia" w:cs="Georgia" w:eastAsia="Georgia" w:hAnsi="Georgia"/>
          <w:color w:val="111827"/>
          <w:sz w:val="22"/>
          <w:szCs w:val="22"/>
        </w:rPr>
        <w:t xml:space="preserve">This article provides the complete 34-control reference for Domain 8, deep-dive implementation guidance for all 7 new 2022 controls, and the top 7 audit findings in this domain with specific prevention and fix guidance.</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Domain 8 Sub-Group Structure</w:t>
      </w:r>
    </w:p>
    <w:p>
      <w:pPr>
        <w:spacing w:after="80"/>
      </w:pPr>
      <w:r>
        <w:t xml:space="preserve"/>
      </w:r>
    </w:p>
    <w:p>
      <w:pPr>
        <w:spacing w:after="160" w:line="320"/>
        <w:jc w:val="both"/>
      </w:pPr>
      <w:r>
        <w:rPr>
          <w:rFonts w:ascii="Georgia" w:cs="Georgia" w:eastAsia="Georgia" w:hAnsi="Georgia"/>
          <w:color w:val="111827"/>
          <w:sz w:val="22"/>
          <w:szCs w:val="22"/>
        </w:rPr>
        <w:t xml:space="preserve">The 34 technological controls fall into 10 logical sub-groups. Understanding the sub-groups helps with ownership assignment — different teams own different technical domains: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760"/>
        <w:gridCol w:w="6200"/>
      </w:tblGrid>
      <w:tr>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Sub-group</w:t>
            </w:r>
          </w:p>
        </w:tc>
        <w:tc>
          <w:tcPr>
            <w:tcW w:type="dxa" w:w="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Controls</w:t>
            </w:r>
          </w:p>
        </w:tc>
        <w:tc>
          <w:tcPr>
            <w:tcW w:type="dxa" w:w="6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Coverage</w:t>
            </w:r>
          </w:p>
        </w:tc>
      </w:tr>
      <w:tr>
        <w:tc>
          <w:tcPr>
            <w:tcW w:type="dxa" w:w="24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Access and identity (8.1–8.5)</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8.1–8.5</w:t>
            </w:r>
          </w:p>
        </w:tc>
        <w:tc>
          <w:tcPr>
            <w:tcW w:type="dxa" w:w="6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Endpoint device management, privileged access rights, information access restriction, source code access, and secure authentication. The technical implementation of the access governance policies set in Domain 5 (5.15–5.18).</w:t>
            </w:r>
          </w:p>
        </w:tc>
      </w:tr>
      <w:tr>
        <w:tc>
          <w:tcPr>
            <w:tcW w:type="dxa" w:w="24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Operational controls (8.6–8.8)</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8.6–8.8</w:t>
            </w:r>
          </w:p>
        </w:tc>
        <w:tc>
          <w:tcPr>
            <w:tcW w:type="dxa" w:w="6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Capacity management, malware protection, and vulnerability management. Core operational security controls that run continuously. A.8.8 vulnerability management is one of the most frequently audited controls in Stage 2.</w:t>
            </w:r>
          </w:p>
        </w:tc>
      </w:tr>
      <w:tr>
        <w:tc>
          <w:tcPr>
            <w:tcW w:type="dxa" w:w="24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System hardening and config (8.9)</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8.9</w:t>
            </w:r>
          </w:p>
        </w:tc>
        <w:tc>
          <w:tcPr>
            <w:tcW w:type="dxa" w:w="6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Configuration management — NEW in 2022. Requires documented, monitored baseline security configurations for all in-scope systems. One of the most underimplemented new controls.</w:t>
            </w:r>
          </w:p>
        </w:tc>
      </w:tr>
      <w:tr>
        <w:tc>
          <w:tcPr>
            <w:tcW w:type="dxa" w:w="24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Data protection (8.10–8.12)</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8.10–8.12</w:t>
            </w:r>
          </w:p>
        </w:tc>
        <w:tc>
          <w:tcPr>
            <w:tcW w:type="dxa" w:w="6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Information deletion (NEW), data masking (NEW), and data leakage prevention (NEW). Three new 2022 controls directly tied to UU PDP personal data obligations.</w:t>
            </w:r>
          </w:p>
        </w:tc>
      </w:tr>
      <w:tr>
        <w:tc>
          <w:tcPr>
            <w:tcW w:type="dxa" w:w="24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Resilience and backup (8.13–8.14)</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8.13–8.14</w:t>
            </w:r>
          </w:p>
        </w:tc>
        <w:tc>
          <w:tcPr>
            <w:tcW w:type="dxa" w:w="6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Information backup and redundancy of information processing facilities. Fundamental resilience controls with direct BCM implications.</w:t>
            </w:r>
          </w:p>
        </w:tc>
      </w:tr>
      <w:tr>
        <w:tc>
          <w:tcPr>
            <w:tcW w:type="dxa" w:w="24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Logging and monitoring (8.15–8.17)</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8.15–8.17</w:t>
            </w:r>
          </w:p>
        </w:tc>
        <w:tc>
          <w:tcPr>
            <w:tcW w:type="dxa" w:w="6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Logging, monitoring activities (NEW 2022), and clock synchronization. SIEM-adjacent controls that generate the evidence trail for incident investigation and audit.</w:t>
            </w:r>
          </w:p>
        </w:tc>
      </w:tr>
      <w:tr>
        <w:tc>
          <w:tcPr>
            <w:tcW w:type="dxa" w:w="24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Operational security (8.18–8.22)</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8.18–8.22</w:t>
            </w:r>
          </w:p>
        </w:tc>
        <w:tc>
          <w:tcPr>
            <w:tcW w:type="dxa" w:w="6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Privileged utilities, software installation controls, network security, network services security, and network segmentation. Infrastructure security hygiene.</w:t>
            </w:r>
          </w:p>
        </w:tc>
      </w:tr>
      <w:tr>
        <w:tc>
          <w:tcPr>
            <w:tcW w:type="dxa" w:w="24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Web filtering (8.23)</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8.23</w:t>
            </w:r>
          </w:p>
        </w:tc>
        <w:tc>
          <w:tcPr>
            <w:tcW w:type="dxa" w:w="6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Web filtering — NEW in 2022. Requires filtering of access to external websites to protect against malicious content and enforce acceptable use policy.</w:t>
            </w:r>
          </w:p>
        </w:tc>
      </w:tr>
      <w:tr>
        <w:tc>
          <w:tcPr>
            <w:tcW w:type="dxa" w:w="24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Cryptography (8.24)</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8.24</w:t>
            </w:r>
          </w:p>
        </w:tc>
        <w:tc>
          <w:tcPr>
            <w:tcW w:type="dxa" w:w="6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Use of cryptography — policy, key management, and appropriate algorithm selection. Direct relevance to UU PDP encryption obligations for personal data.</w:t>
            </w:r>
          </w:p>
        </w:tc>
      </w:tr>
      <w:tr>
        <w:tc>
          <w:tcPr>
            <w:tcW w:type="dxa" w:w="2400"/>
            <w:tcBorders>
              <w:top w:val="single" w:color="DBEAFE" w:sz="1"/>
              <w:left w:val="single" w:color="DBEAFE" w:sz="1"/>
              <w:bottom w:val="single" w:color="DBEAFE" w:sz="1"/>
              <w:right w:val="single" w:color="DBEAFE" w:sz="1"/>
            </w:tcBorders>
            <w:shd w:fill="334155" w:val="clear"/>
            <w:tcMar>
              <w:top w:type="dxa" w:w="100"/>
              <w:left w:type="dxa" w:w="110"/>
              <w:bottom w:type="dxa" w:w="100"/>
              <w:right w:type="dxa" w:w="110"/>
            </w:tcMar>
          </w:tcPr>
          <w:p>
            <w:r>
              <w:rPr>
                <w:rFonts w:ascii="Arial" w:cs="Arial" w:eastAsia="Arial" w:hAnsi="Arial"/>
                <w:b/>
                <w:bCs/>
                <w:color w:val="FFFFFF"/>
                <w:sz w:val="18"/>
                <w:szCs w:val="18"/>
              </w:rPr>
              <w:t xml:space="preserve">Secure development (8.25–8.34)</w:t>
            </w:r>
          </w:p>
        </w:tc>
        <w:tc>
          <w:tcPr>
            <w:tcW w:type="dxa" w:w="76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8.25–8.34</w:t>
            </w:r>
          </w:p>
        </w:tc>
        <w:tc>
          <w:tcPr>
            <w:tcW w:type="dxa" w:w="6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Secure development lifecycle, application security requirements, secure architecture, secure coding (NEW), security testing, outsourced development, environment separation, change management, test data management, and protection during audit. The complete secure SDLC control group.</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Complete Control Reference: All 34 Technological Controls</w:t>
      </w:r>
    </w:p>
    <w:p>
      <w:pPr>
        <w:spacing w:after="80"/>
      </w:pPr>
      <w:r>
        <w:t xml:space="preserve"/>
      </w:r>
    </w:p>
    <w:p>
      <w:pPr>
        <w:spacing w:after="160" w:line="320"/>
        <w:jc w:val="both"/>
      </w:pPr>
      <w:r>
        <w:rPr>
          <w:rFonts w:ascii="Georgia" w:cs="Georgia" w:eastAsia="Georgia" w:hAnsi="Georgia"/>
          <w:color w:val="111827"/>
          <w:sz w:val="22"/>
          <w:szCs w:val="22"/>
        </w:rPr>
        <w:t xml:space="preserve">The complete reference table below covers all 34 controls organized by sub-group. Each entry shows the control reference (★ marks new 2022 controls), control name, requirement summary, key evidence required, and Indonesian regulatory context: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70"/>
              <w:left w:type="dxa" w:w="130"/>
              <w:bottom w:type="dxa" w:w="70"/>
              <w:right w:type="dxa" w:w="130"/>
            </w:tcMar>
          </w:tcPr>
          <w:p>
            <w:r>
              <w:rPr>
                <w:rFonts w:ascii="Arial" w:cs="Arial" w:eastAsia="Arial" w:hAnsi="Arial"/>
                <w:b/>
                <w:bCs/>
                <w:color w:val="FFFFFF"/>
                <w:sz w:val="18"/>
                <w:szCs w:val="18"/>
              </w:rPr>
              <w:t xml:space="preserve">8.1–8.5 — Access and Identity</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auto" w:w="600"/>
                  <w:tcBorders>
                    <w:top w:val="none" w:color="FFFFFF" w:sz="0"/>
                    <w:left w:val="none" w:color="FFFFFF" w:sz="0"/>
                    <w:bottom w:val="single" w:color="DBEAFE" w:sz="1"/>
                    <w:right w:val="single" w:color="DBEAFE" w:sz="1"/>
                  </w:tcBorders>
                  <w:shd w:fill="334155" w:val="clear"/>
                  <w:tcMar>
                    <w:top w:type="dxa" w:w="60"/>
                    <w:left w:type="dxa" w:w="80"/>
                    <w:bottom w:type="dxa" w:w="60"/>
                    <w:right w:type="dxa" w:w="80"/>
                  </w:tcMar>
                </w:tcPr>
                <w:p>
                  <w:pPr>
                    <w:jc w:val="center"/>
                  </w:pPr>
                  <w:r>
                    <w:rPr>
                      <w:rFonts w:ascii="Arial" w:cs="Arial" w:eastAsia="Arial" w:hAnsi="Arial"/>
                      <w:b/>
                      <w:bCs/>
                      <w:color w:val="FFFFFF"/>
                      <w:sz w:val="15"/>
                      <w:szCs w:val="15"/>
                    </w:rPr>
                    <w:t xml:space="preserve">Ref.</w:t>
                  </w:r>
                </w:p>
              </w:tc>
              <w:tc>
                <w:tcPr>
                  <w:tcW w:type="auto" w:w="20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Control</w:t>
                  </w:r>
                </w:p>
              </w:tc>
              <w:tc>
                <w:tcPr>
                  <w:tcW w:type="auto" w:w="296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Requirement</w:t>
                  </w:r>
                </w:p>
              </w:tc>
              <w:tc>
                <w:tcPr>
                  <w:tcW w:type="auto" w:w="22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Key evidence</w:t>
                  </w:r>
                </w:p>
              </w:tc>
              <w:tc>
                <w:tcPr>
                  <w:tcW w:type="auto" w:w="1600"/>
                  <w:tcBorders>
                    <w:top w:val="none" w:color="FFFFFF" w:sz="0"/>
                    <w:left w:val="single" w:color="DBEAFE" w:sz="1"/>
                    <w:bottom w:val="single" w:color="DBEAFE" w:sz="1"/>
                    <w:right w:val="none" w:color="FFFFFF" w:sz="0"/>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Regulatory link</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1B3A5C"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8.1</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User end point devices</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Manage and protect information on and processed by user endpoint devices (laptops, mobile phones, tablets). Define security requirements for corporate and BYOD devices. MDM required for mobile devices accessing in-scope systems.</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MDM enrollment report. Endpoint security policy. Device compliance dashboard. BYOD policy if applicable.</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IT security for end-user devices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1B3A5C"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8.2</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Privileged access rights</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Allocate, manage, and restrict privileged access rights. Minimize the number of privileged accounts. PAM controls required. Privileged access reviewed separately from general access — more frequently and more strictly.</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Privileged account register. PAM configuration evidence. Quarterly privileged access review records. Approval records for each privileged account.</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privileged access management requirements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1B3A5C"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8.3</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Information access restriction</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Restrict access to information and application system functions in accordance with access control policy — need-to-know and least privilege. Role-based access control aligned to job function.</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Role-based access matrix. Access control configuration showing role-limited access. Sample access justifications per user type.</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UU PDP access controls for personal data; POJK access restriction requirements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1B3A5C"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8.4</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Access to source code</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Restrict access to source code, development tools, and associated libraries. Separate development and production environments. Source code access limited to need-to-know.</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Source code repository access control configuration. Developer access list vs. production access list — separation verified. Branch protection policies.</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UU ITE software security; POJK software development controls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1B3A5C"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8.5</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Secure authentication</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Implement secure authentication technologies and procedures based on access restriction requirements and the access control policy. MFA mandatory for all privileged access and remote access. Password policy aligned to current standards.</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IAM system MFA enrollment report — 100% for privileged and remote. Password policy configuration. MFA enforcement configuration. Session management settings.</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authentication requirements; Bank Indonesia payment system MFA requirements</w:t>
                  </w:r>
                </w:p>
              </w:tc>
            </w:tr>
          </w:tbl>
          <w:p/>
        </w:tc>
      </w:tr>
      <w:tr>
        <w:tc>
          <w:tcPr>
            <w:tcW w:type="dxa" w:w="9360"/>
            <w:tcBorders>
              <w:top w:val="single" w:color="DBEAFE" w:sz="1"/>
              <w:left w:val="single" w:color="DBEAFE" w:sz="1"/>
              <w:bottom w:val="single" w:color="DBEAFE" w:sz="1"/>
              <w:right w:val="single" w:color="DBEAFE" w:sz="1"/>
            </w:tcBorders>
            <w:shd w:fill="2563A8" w:val="clear"/>
            <w:tcMar>
              <w:top w:type="dxa" w:w="70"/>
              <w:left w:type="dxa" w:w="130"/>
              <w:bottom w:type="dxa" w:w="70"/>
              <w:right w:type="dxa" w:w="130"/>
            </w:tcMar>
          </w:tcPr>
          <w:p>
            <w:r>
              <w:rPr>
                <w:rFonts w:ascii="Arial" w:cs="Arial" w:eastAsia="Arial" w:hAnsi="Arial"/>
                <w:b/>
                <w:bCs/>
                <w:color w:val="FFFFFF"/>
                <w:sz w:val="18"/>
                <w:szCs w:val="18"/>
              </w:rPr>
              <w:t xml:space="preserve">8.6–8.8 — Operational Security</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auto" w:w="600"/>
                  <w:tcBorders>
                    <w:top w:val="none" w:color="FFFFFF" w:sz="0"/>
                    <w:left w:val="none" w:color="FFFFFF" w:sz="0"/>
                    <w:bottom w:val="single" w:color="DBEAFE" w:sz="1"/>
                    <w:right w:val="single" w:color="DBEAFE" w:sz="1"/>
                  </w:tcBorders>
                  <w:shd w:fill="334155" w:val="clear"/>
                  <w:tcMar>
                    <w:top w:type="dxa" w:w="60"/>
                    <w:left w:type="dxa" w:w="80"/>
                    <w:bottom w:type="dxa" w:w="60"/>
                    <w:right w:type="dxa" w:w="80"/>
                  </w:tcMar>
                </w:tcPr>
                <w:p>
                  <w:pPr>
                    <w:jc w:val="center"/>
                  </w:pPr>
                  <w:r>
                    <w:rPr>
                      <w:rFonts w:ascii="Arial" w:cs="Arial" w:eastAsia="Arial" w:hAnsi="Arial"/>
                      <w:b/>
                      <w:bCs/>
                      <w:color w:val="FFFFFF"/>
                      <w:sz w:val="15"/>
                      <w:szCs w:val="15"/>
                    </w:rPr>
                    <w:t xml:space="preserve">Ref.</w:t>
                  </w:r>
                </w:p>
              </w:tc>
              <w:tc>
                <w:tcPr>
                  <w:tcW w:type="auto" w:w="20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Control</w:t>
                  </w:r>
                </w:p>
              </w:tc>
              <w:tc>
                <w:tcPr>
                  <w:tcW w:type="auto" w:w="296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Requirement</w:t>
                  </w:r>
                </w:p>
              </w:tc>
              <w:tc>
                <w:tcPr>
                  <w:tcW w:type="auto" w:w="22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Key evidence</w:t>
                  </w:r>
                </w:p>
              </w:tc>
              <w:tc>
                <w:tcPr>
                  <w:tcW w:type="auto" w:w="1600"/>
                  <w:tcBorders>
                    <w:top w:val="none" w:color="FFFFFF" w:sz="0"/>
                    <w:left w:val="single" w:color="DBEAFE" w:sz="1"/>
                    <w:bottom w:val="single" w:color="DBEAFE" w:sz="1"/>
                    <w:right w:val="none" w:color="FFFFFF" w:sz="0"/>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Regulatory link</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2563A8"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8.6</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Capacity management</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Monitor and manage resource use and projected future capacity requirements to ensure required system performance. Prevent security failures caused by resource exhaustion.</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Capacity monitoring dashboard or reports. Resource utilization trend data. Capacity planning records for in-scope systems.</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IT operational risk management; BI payment system availability requirements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2563A8"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8.7</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Protection against malware</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Implement malware protection — detection, prevention, and recovery — combined with appropriate user awareness. Anti-malware on all applicable endpoints. Email gateway filtering.</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Endpoint protection deployment report (coverage %). Email gateway configuration showing malware filtering. Anti-malware definition update logs. Malware detection and response records.</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BSSN malware protection guidelines; POJK IT security malware controls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2563A8"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8.8</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Management of technical vulnerabilities</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Identify technical vulnerabilities in information systems, assess the organization's exposure, and take appropriate action. Defines the vulnerability management cycle: scan, assess, remediate, verify.</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Vulnerability scan reports (last 2 cycles). Critical/high finding remediation records with closure dates vs. SLA. Patch management records. Vulnerability management procedure.</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BSSN vulnerability disclosure framework; POJK IT vulnerability management requirements</w:t>
                  </w:r>
                </w:p>
              </w:tc>
            </w:tr>
          </w:tbl>
          <w:p/>
        </w:tc>
      </w:tr>
      <w:tr>
        <w:tc>
          <w:tcPr>
            <w:tcW w:type="dxa" w:w="9360"/>
            <w:tcBorders>
              <w:top w:val="single" w:color="DBEAFE" w:sz="1"/>
              <w:left w:val="single" w:color="DBEAFE" w:sz="1"/>
              <w:bottom w:val="single" w:color="DBEAFE" w:sz="1"/>
              <w:right w:val="single" w:color="DBEAFE" w:sz="1"/>
            </w:tcBorders>
            <w:shd w:fill="0F766E" w:val="clear"/>
            <w:tcMar>
              <w:top w:type="dxa" w:w="70"/>
              <w:left w:type="dxa" w:w="130"/>
              <w:bottom w:type="dxa" w:w="70"/>
              <w:right w:type="dxa" w:w="130"/>
            </w:tcMar>
          </w:tcPr>
          <w:p>
            <w:r>
              <w:rPr>
                <w:rFonts w:ascii="Arial" w:cs="Arial" w:eastAsia="Arial" w:hAnsi="Arial"/>
                <w:b/>
                <w:bCs/>
                <w:color w:val="FFFFFF"/>
                <w:sz w:val="18"/>
                <w:szCs w:val="18"/>
              </w:rPr>
              <w:t xml:space="preserve">8.9 — Configuration Management (NEW 2022)</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auto" w:w="600"/>
                  <w:tcBorders>
                    <w:top w:val="none" w:color="FFFFFF" w:sz="0"/>
                    <w:left w:val="none" w:color="FFFFFF" w:sz="0"/>
                    <w:bottom w:val="single" w:color="DBEAFE" w:sz="1"/>
                    <w:right w:val="single" w:color="DBEAFE" w:sz="1"/>
                  </w:tcBorders>
                  <w:shd w:fill="334155" w:val="clear"/>
                  <w:tcMar>
                    <w:top w:type="dxa" w:w="60"/>
                    <w:left w:type="dxa" w:w="80"/>
                    <w:bottom w:type="dxa" w:w="60"/>
                    <w:right w:type="dxa" w:w="80"/>
                  </w:tcMar>
                </w:tcPr>
                <w:p>
                  <w:pPr>
                    <w:jc w:val="center"/>
                  </w:pPr>
                  <w:r>
                    <w:rPr>
                      <w:rFonts w:ascii="Arial" w:cs="Arial" w:eastAsia="Arial" w:hAnsi="Arial"/>
                      <w:b/>
                      <w:bCs/>
                      <w:color w:val="FFFFFF"/>
                      <w:sz w:val="15"/>
                      <w:szCs w:val="15"/>
                    </w:rPr>
                    <w:t xml:space="preserve">Ref.</w:t>
                  </w:r>
                </w:p>
              </w:tc>
              <w:tc>
                <w:tcPr>
                  <w:tcW w:type="auto" w:w="20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Control</w:t>
                  </w:r>
                </w:p>
              </w:tc>
              <w:tc>
                <w:tcPr>
                  <w:tcW w:type="auto" w:w="296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Requirement</w:t>
                  </w:r>
                </w:p>
              </w:tc>
              <w:tc>
                <w:tcPr>
                  <w:tcW w:type="auto" w:w="22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Key evidence</w:t>
                  </w:r>
                </w:p>
              </w:tc>
              <w:tc>
                <w:tcPr>
                  <w:tcW w:type="auto" w:w="1600"/>
                  <w:tcBorders>
                    <w:top w:val="none" w:color="FFFFFF" w:sz="0"/>
                    <w:left w:val="single" w:color="DBEAFE" w:sz="1"/>
                    <w:bottom w:val="single" w:color="DBEAFE" w:sz="1"/>
                    <w:right w:val="none" w:color="FFFFFF" w:sz="0"/>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Regulatory link</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0F766E"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8.9 ★</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Configuration management</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Define, document, implement, monitor, and review configurations — including security configurations — for hardware, software, services, and networks. Secure baseline configurations for all in-scope systems. Configuration drift detection and remediation.</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Secure baseline configuration documents per system/platform type. Configuration management procedure. Automated compliance scanning results showing drift from baseline. Configuration change records.</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BSSN hardening guidelines; POJK IT configuration management requirements</w:t>
                  </w:r>
                </w:p>
              </w:tc>
            </w:tr>
          </w:tbl>
          <w:p/>
        </w:tc>
      </w:tr>
      <w:tr>
        <w:tc>
          <w:tcPr>
            <w:tcW w:type="dxa" w:w="9360"/>
            <w:tcBorders>
              <w:top w:val="single" w:color="DBEAFE" w:sz="1"/>
              <w:left w:val="single" w:color="DBEAFE" w:sz="1"/>
              <w:bottom w:val="single" w:color="DBEAFE" w:sz="1"/>
              <w:right w:val="single" w:color="DBEAFE" w:sz="1"/>
            </w:tcBorders>
            <w:shd w:fill="3730A3" w:val="clear"/>
            <w:tcMar>
              <w:top w:type="dxa" w:w="70"/>
              <w:left w:type="dxa" w:w="130"/>
              <w:bottom w:type="dxa" w:w="70"/>
              <w:right w:type="dxa" w:w="130"/>
            </w:tcMar>
          </w:tcPr>
          <w:p>
            <w:r>
              <w:rPr>
                <w:rFonts w:ascii="Arial" w:cs="Arial" w:eastAsia="Arial" w:hAnsi="Arial"/>
                <w:b/>
                <w:bCs/>
                <w:color w:val="FFFFFF"/>
                <w:sz w:val="18"/>
                <w:szCs w:val="18"/>
              </w:rPr>
              <w:t xml:space="preserve">8.10–8.12 — Data Protection (NEW 2022)</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auto" w:w="600"/>
                  <w:tcBorders>
                    <w:top w:val="none" w:color="FFFFFF" w:sz="0"/>
                    <w:left w:val="none" w:color="FFFFFF" w:sz="0"/>
                    <w:bottom w:val="single" w:color="DBEAFE" w:sz="1"/>
                    <w:right w:val="single" w:color="DBEAFE" w:sz="1"/>
                  </w:tcBorders>
                  <w:shd w:fill="334155" w:val="clear"/>
                  <w:tcMar>
                    <w:top w:type="dxa" w:w="60"/>
                    <w:left w:type="dxa" w:w="80"/>
                    <w:bottom w:type="dxa" w:w="60"/>
                    <w:right w:type="dxa" w:w="80"/>
                  </w:tcMar>
                </w:tcPr>
                <w:p>
                  <w:pPr>
                    <w:jc w:val="center"/>
                  </w:pPr>
                  <w:r>
                    <w:rPr>
                      <w:rFonts w:ascii="Arial" w:cs="Arial" w:eastAsia="Arial" w:hAnsi="Arial"/>
                      <w:b/>
                      <w:bCs/>
                      <w:color w:val="FFFFFF"/>
                      <w:sz w:val="15"/>
                      <w:szCs w:val="15"/>
                    </w:rPr>
                    <w:t xml:space="preserve">Ref.</w:t>
                  </w:r>
                </w:p>
              </w:tc>
              <w:tc>
                <w:tcPr>
                  <w:tcW w:type="auto" w:w="20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Control</w:t>
                  </w:r>
                </w:p>
              </w:tc>
              <w:tc>
                <w:tcPr>
                  <w:tcW w:type="auto" w:w="296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Requirement</w:t>
                  </w:r>
                </w:p>
              </w:tc>
              <w:tc>
                <w:tcPr>
                  <w:tcW w:type="auto" w:w="22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Key evidence</w:t>
                  </w:r>
                </w:p>
              </w:tc>
              <w:tc>
                <w:tcPr>
                  <w:tcW w:type="auto" w:w="1600"/>
                  <w:tcBorders>
                    <w:top w:val="none" w:color="FFFFFF" w:sz="0"/>
                    <w:left w:val="single" w:color="DBEAFE" w:sz="1"/>
                    <w:bottom w:val="single" w:color="DBEAFE" w:sz="1"/>
                    <w:right w:val="none" w:color="FFFFFF" w:sz="0"/>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Regulatory link</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3730A3"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8.10 ★</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Information deletion</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Delete information stored in information systems, devices, or other storage media when no longer required. Secure deletion methods for sensitive and personal data. Data retention and deletion schedule implemented.</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Data retention and deletion policy. Deletion procedure per data category/storage medium. Deletion records for personal data deletion requests. Secure deletion tool evidence.</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UU PDP right to erasure (Article 28); UU PDP data minimization principle; KOMINFO regulations on data retention</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3730A3"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8.11 ★</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Data masking</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Data masking and anonymization techniques must be used in accordance with the organization's topic-specific policy on access control and other related policy and business requirements. Particularly relevant for non-production environments handling personal data.</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Data masking policy/procedure. Evidence that test/development environments use masked data. Masking tool configuration or manual procedure for data extraction.</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UU PDP personal data protection in non-production environments; POJK data handling in IT development</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3730A3"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8.12 ★</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Data leakage prevention</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Apply data leakage prevention measures to systems, networks, and any other devices that process, store, or transmit sensitive information. Detect and prevent unauthorized disclosure of data.</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DLP policy. DLP tool configuration showing monitoring of sensitive data categories. DLP alert logs and response records. Email gateway DLP rules.</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UU PDP data protection obligation; POJK controls on information leakage; OJK data security requirements</w:t>
                  </w:r>
                </w:p>
              </w:tc>
            </w:tr>
          </w:tbl>
          <w:p/>
        </w:tc>
      </w:tr>
      <w:tr>
        <w:tc>
          <w:tcPr>
            <w:tcW w:type="dxa" w:w="9360"/>
            <w:tcBorders>
              <w:top w:val="single" w:color="DBEAFE" w:sz="1"/>
              <w:left w:val="single" w:color="DBEAFE" w:sz="1"/>
              <w:bottom w:val="single" w:color="DBEAFE" w:sz="1"/>
              <w:right w:val="single" w:color="DBEAFE" w:sz="1"/>
            </w:tcBorders>
            <w:shd w:fill="6D28D9" w:val="clear"/>
            <w:tcMar>
              <w:top w:type="dxa" w:w="70"/>
              <w:left w:type="dxa" w:w="130"/>
              <w:bottom w:type="dxa" w:w="70"/>
              <w:right w:type="dxa" w:w="130"/>
            </w:tcMar>
          </w:tcPr>
          <w:p>
            <w:r>
              <w:rPr>
                <w:rFonts w:ascii="Arial" w:cs="Arial" w:eastAsia="Arial" w:hAnsi="Arial"/>
                <w:b/>
                <w:bCs/>
                <w:color w:val="FFFFFF"/>
                <w:sz w:val="18"/>
                <w:szCs w:val="18"/>
              </w:rPr>
              <w:t xml:space="preserve">8.13–8.14 — Resilience</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auto" w:w="600"/>
                  <w:tcBorders>
                    <w:top w:val="none" w:color="FFFFFF" w:sz="0"/>
                    <w:left w:val="none" w:color="FFFFFF" w:sz="0"/>
                    <w:bottom w:val="single" w:color="DBEAFE" w:sz="1"/>
                    <w:right w:val="single" w:color="DBEAFE" w:sz="1"/>
                  </w:tcBorders>
                  <w:shd w:fill="334155" w:val="clear"/>
                  <w:tcMar>
                    <w:top w:type="dxa" w:w="60"/>
                    <w:left w:type="dxa" w:w="80"/>
                    <w:bottom w:type="dxa" w:w="60"/>
                    <w:right w:type="dxa" w:w="80"/>
                  </w:tcMar>
                </w:tcPr>
                <w:p>
                  <w:pPr>
                    <w:jc w:val="center"/>
                  </w:pPr>
                  <w:r>
                    <w:rPr>
                      <w:rFonts w:ascii="Arial" w:cs="Arial" w:eastAsia="Arial" w:hAnsi="Arial"/>
                      <w:b/>
                      <w:bCs/>
                      <w:color w:val="FFFFFF"/>
                      <w:sz w:val="15"/>
                      <w:szCs w:val="15"/>
                    </w:rPr>
                    <w:t xml:space="preserve">Ref.</w:t>
                  </w:r>
                </w:p>
              </w:tc>
              <w:tc>
                <w:tcPr>
                  <w:tcW w:type="auto" w:w="20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Control</w:t>
                  </w:r>
                </w:p>
              </w:tc>
              <w:tc>
                <w:tcPr>
                  <w:tcW w:type="auto" w:w="296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Requirement</w:t>
                  </w:r>
                </w:p>
              </w:tc>
              <w:tc>
                <w:tcPr>
                  <w:tcW w:type="auto" w:w="22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Key evidence</w:t>
                  </w:r>
                </w:p>
              </w:tc>
              <w:tc>
                <w:tcPr>
                  <w:tcW w:type="auto" w:w="1600"/>
                  <w:tcBorders>
                    <w:top w:val="none" w:color="FFFFFF" w:sz="0"/>
                    <w:left w:val="single" w:color="DBEAFE" w:sz="1"/>
                    <w:bottom w:val="single" w:color="DBEAFE" w:sz="1"/>
                    <w:right w:val="none" w:color="FFFFFF" w:sz="0"/>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Regulatory link</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6D28D9"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8.13</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Information backup</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Maintain, regularly test, and secure copies of information, software, and system images in accordance with agreed backup policy. Define RPO per system. Test restoration.</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Backup policy with RPO per system tier. Backup execution logs. Restoration test records (at least annual). Backup storage security configuration (encryption, offsite/immutable).</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data availability requirements; BI payment system backup requirements; OJK BCM standards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6D28D9"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8.14</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Redundancy of information processing facilities</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Implement redundancy in information processing facilities to meet availability requirements. Active-active or active-passive architectures as required for critical systems.</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Architecture diagrams showing redundancy design. Availability SLA commitments and measurement. Failover test records for critical systems.</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IT system availability requirements; BI payment system uptime standards</w:t>
                  </w:r>
                </w:p>
              </w:tc>
            </w:tr>
          </w:tbl>
          <w:p/>
        </w:tc>
      </w:tr>
      <w:tr>
        <w:tc>
          <w:tcPr>
            <w:tcW w:type="dxa" w:w="9360"/>
            <w:tcBorders>
              <w:top w:val="single" w:color="DBEAFE" w:sz="1"/>
              <w:left w:val="single" w:color="DBEAFE" w:sz="1"/>
              <w:bottom w:val="single" w:color="DBEAFE" w:sz="1"/>
              <w:right w:val="single" w:color="DBEAFE" w:sz="1"/>
            </w:tcBorders>
            <w:shd w:fill="B45309" w:val="clear"/>
            <w:tcMar>
              <w:top w:type="dxa" w:w="70"/>
              <w:left w:type="dxa" w:w="130"/>
              <w:bottom w:type="dxa" w:w="70"/>
              <w:right w:type="dxa" w:w="130"/>
            </w:tcMar>
          </w:tcPr>
          <w:p>
            <w:r>
              <w:rPr>
                <w:rFonts w:ascii="Arial" w:cs="Arial" w:eastAsia="Arial" w:hAnsi="Arial"/>
                <w:b/>
                <w:bCs/>
                <w:color w:val="FFFFFF"/>
                <w:sz w:val="18"/>
                <w:szCs w:val="18"/>
              </w:rPr>
              <w:t xml:space="preserve">8.15–8.17 — Logging and Monitoring</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auto" w:w="600"/>
                  <w:tcBorders>
                    <w:top w:val="none" w:color="FFFFFF" w:sz="0"/>
                    <w:left w:val="none" w:color="FFFFFF" w:sz="0"/>
                    <w:bottom w:val="single" w:color="DBEAFE" w:sz="1"/>
                    <w:right w:val="single" w:color="DBEAFE" w:sz="1"/>
                  </w:tcBorders>
                  <w:shd w:fill="334155" w:val="clear"/>
                  <w:tcMar>
                    <w:top w:type="dxa" w:w="60"/>
                    <w:left w:type="dxa" w:w="80"/>
                    <w:bottom w:type="dxa" w:w="60"/>
                    <w:right w:type="dxa" w:w="80"/>
                  </w:tcMar>
                </w:tcPr>
                <w:p>
                  <w:pPr>
                    <w:jc w:val="center"/>
                  </w:pPr>
                  <w:r>
                    <w:rPr>
                      <w:rFonts w:ascii="Arial" w:cs="Arial" w:eastAsia="Arial" w:hAnsi="Arial"/>
                      <w:b/>
                      <w:bCs/>
                      <w:color w:val="FFFFFF"/>
                      <w:sz w:val="15"/>
                      <w:szCs w:val="15"/>
                    </w:rPr>
                    <w:t xml:space="preserve">Ref.</w:t>
                  </w:r>
                </w:p>
              </w:tc>
              <w:tc>
                <w:tcPr>
                  <w:tcW w:type="auto" w:w="20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Control</w:t>
                  </w:r>
                </w:p>
              </w:tc>
              <w:tc>
                <w:tcPr>
                  <w:tcW w:type="auto" w:w="296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Requirement</w:t>
                  </w:r>
                </w:p>
              </w:tc>
              <w:tc>
                <w:tcPr>
                  <w:tcW w:type="auto" w:w="22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Key evidence</w:t>
                  </w:r>
                </w:p>
              </w:tc>
              <w:tc>
                <w:tcPr>
                  <w:tcW w:type="auto" w:w="1600"/>
                  <w:tcBorders>
                    <w:top w:val="none" w:color="FFFFFF" w:sz="0"/>
                    <w:left w:val="single" w:color="DBEAFE" w:sz="1"/>
                    <w:bottom w:val="single" w:color="DBEAFE" w:sz="1"/>
                    <w:right w:val="none" w:color="FFFFFF" w:sz="0"/>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Regulatory link</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B45309"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8.15</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Logging</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Produce, store, protect, and analyze logs that record user activities, exceptions, faults, and information security events. Log retention aligned to regulatory requirements. Log integrity protection.</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Logging configuration evidence (what is being logged). Log retention policy and configuration. Sample log output showing required event types. Log integrity controls.</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UU PDP audit trail requirements; POJK IT audit logging requirements; BI payment system transaction logging</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B45309"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8.16 ★</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Monitoring activities</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Monitor networks, systems, and applications and analyze monitoring output to detect anomalous behavior and potential information security incidents. SIEM or equivalent monitoring required.</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Monitoring platform configuration showing alert rules. Alert rule documentation. Sample alert response records. Monitoring coverage report (which systems are monitored).</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BSSN monitoring requirements; POJK IT monitoring requirements; OJK network monitoring guidance</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B45309"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8.17</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Clock synchronization</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Information processing systems must use an approved time source synchronized across the organization. NTP synchronization. Critical for log correlation and incident investigation.</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NTP configuration evidence for all in-scope systems. Time synchronization audit showing consistent timestamps. Log entries showing consistent timing across systems.</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Supports regulatory reporting accuracy; forensic investigation integrity</w:t>
                  </w:r>
                </w:p>
              </w:tc>
            </w:tr>
          </w:tbl>
          <w:p/>
        </w:tc>
      </w:tr>
      <w:tr>
        <w:tc>
          <w:tcPr>
            <w:tcW w:type="dxa" w:w="9360"/>
            <w:tcBorders>
              <w:top w:val="single" w:color="DBEAFE" w:sz="1"/>
              <w:left w:val="single" w:color="DBEAFE" w:sz="1"/>
              <w:bottom w:val="single" w:color="DBEAFE" w:sz="1"/>
              <w:right w:val="single" w:color="DBEAFE" w:sz="1"/>
            </w:tcBorders>
            <w:shd w:fill="C2410C" w:val="clear"/>
            <w:tcMar>
              <w:top w:type="dxa" w:w="70"/>
              <w:left w:type="dxa" w:w="130"/>
              <w:bottom w:type="dxa" w:w="70"/>
              <w:right w:type="dxa" w:w="130"/>
            </w:tcMar>
          </w:tcPr>
          <w:p>
            <w:r>
              <w:rPr>
                <w:rFonts w:ascii="Arial" w:cs="Arial" w:eastAsia="Arial" w:hAnsi="Arial"/>
                <w:b/>
                <w:bCs/>
                <w:color w:val="FFFFFF"/>
                <w:sz w:val="18"/>
                <w:szCs w:val="18"/>
              </w:rPr>
              <w:t xml:space="preserve">8.18–8.22 — Infrastructure Security</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auto" w:w="600"/>
                  <w:tcBorders>
                    <w:top w:val="none" w:color="FFFFFF" w:sz="0"/>
                    <w:left w:val="none" w:color="FFFFFF" w:sz="0"/>
                    <w:bottom w:val="single" w:color="DBEAFE" w:sz="1"/>
                    <w:right w:val="single" w:color="DBEAFE" w:sz="1"/>
                  </w:tcBorders>
                  <w:shd w:fill="334155" w:val="clear"/>
                  <w:tcMar>
                    <w:top w:type="dxa" w:w="60"/>
                    <w:left w:type="dxa" w:w="80"/>
                    <w:bottom w:type="dxa" w:w="60"/>
                    <w:right w:type="dxa" w:w="80"/>
                  </w:tcMar>
                </w:tcPr>
                <w:p>
                  <w:pPr>
                    <w:jc w:val="center"/>
                  </w:pPr>
                  <w:r>
                    <w:rPr>
                      <w:rFonts w:ascii="Arial" w:cs="Arial" w:eastAsia="Arial" w:hAnsi="Arial"/>
                      <w:b/>
                      <w:bCs/>
                      <w:color w:val="FFFFFF"/>
                      <w:sz w:val="15"/>
                      <w:szCs w:val="15"/>
                    </w:rPr>
                    <w:t xml:space="preserve">Ref.</w:t>
                  </w:r>
                </w:p>
              </w:tc>
              <w:tc>
                <w:tcPr>
                  <w:tcW w:type="auto" w:w="20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Control</w:t>
                  </w:r>
                </w:p>
              </w:tc>
              <w:tc>
                <w:tcPr>
                  <w:tcW w:type="auto" w:w="296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Requirement</w:t>
                  </w:r>
                </w:p>
              </w:tc>
              <w:tc>
                <w:tcPr>
                  <w:tcW w:type="auto" w:w="22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Key evidence</w:t>
                  </w:r>
                </w:p>
              </w:tc>
              <w:tc>
                <w:tcPr>
                  <w:tcW w:type="auto" w:w="1600"/>
                  <w:tcBorders>
                    <w:top w:val="none" w:color="FFFFFF" w:sz="0"/>
                    <w:left w:val="single" w:color="DBEAFE" w:sz="1"/>
                    <w:bottom w:val="single" w:color="DBEAFE" w:sz="1"/>
                    <w:right w:val="none" w:color="FFFFFF" w:sz="0"/>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Regulatory link</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C2410C"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8.18</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Use of privileged utility programs</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Use of utility programs with the potential to override system and application controls must be restricted and tightly controlled. Privileged tools require separate approval.</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Approved privileged tool list. Access restriction evidence. Audit log of privileged tool usage. Approval records for privileged tool execution.</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privileged access controls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C2410C"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8.19</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Installation of software on operational systems</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Implement procedures to control the installation of software on operational systems. Only approved software may be installed. Software allowlisting or endpoint controls.</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Software installation policy. Approved software list. MDM/endpoint controls showing unauthorized software blocked. Software installation approval records.</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IT change and release management; BSSN software security guidelines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C2410C"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8.20</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Networks security</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Manage and control networks to protect systems and applications. Network security controls implemented and maintained. Network access controlled.</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Network security policy. Firewall configuration evidence. Network architecture diagram. Network access control configuration.</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IT network security requirements; Bank Indonesia network security standards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C2410C"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8.21</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Security of network services</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Security mechanisms, service levels, and service requirements for all network services, internal and external, must be identified, implemented, and monitored.</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Network service inventory. Security requirements per service type. SLA monitoring records for network services. ISP/network provider security assessment.</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requirements for network service security; BI payment network security</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C2410C"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8.22</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Segregation of networks</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Groups of services, users, and information systems must be segregated in networks. Production, development, and test environments must be network-separated. PCI DSS influence visible.</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Network segmentation diagram showing VLAN/zone separation. Firewall rules showing inter-zone controls. Evidence that production and development networks are separated.</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network segregation for financial systems; Bank Indonesia payment system network separation</w:t>
                  </w:r>
                </w:p>
              </w:tc>
            </w:tr>
          </w:tbl>
          <w:p/>
        </w:tc>
      </w:tr>
      <w:tr>
        <w:tc>
          <w:tcPr>
            <w:tcW w:type="dxa" w:w="9360"/>
            <w:tcBorders>
              <w:top w:val="single" w:color="DBEAFE" w:sz="1"/>
              <w:left w:val="single" w:color="DBEAFE" w:sz="1"/>
              <w:bottom w:val="single" w:color="DBEAFE" w:sz="1"/>
              <w:right w:val="single" w:color="DBEAFE" w:sz="1"/>
            </w:tcBorders>
            <w:shd w:fill="991B1B" w:val="clear"/>
            <w:tcMar>
              <w:top w:type="dxa" w:w="70"/>
              <w:left w:type="dxa" w:w="130"/>
              <w:bottom w:type="dxa" w:w="70"/>
              <w:right w:type="dxa" w:w="130"/>
            </w:tcMar>
          </w:tcPr>
          <w:p>
            <w:r>
              <w:rPr>
                <w:rFonts w:ascii="Arial" w:cs="Arial" w:eastAsia="Arial" w:hAnsi="Arial"/>
                <w:b/>
                <w:bCs/>
                <w:color w:val="FFFFFF"/>
                <w:sz w:val="18"/>
                <w:szCs w:val="18"/>
              </w:rPr>
              <w:t xml:space="preserve">8.23 — Web Filtering (NEW 2022)</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auto" w:w="600"/>
                  <w:tcBorders>
                    <w:top w:val="none" w:color="FFFFFF" w:sz="0"/>
                    <w:left w:val="none" w:color="FFFFFF" w:sz="0"/>
                    <w:bottom w:val="single" w:color="DBEAFE" w:sz="1"/>
                    <w:right w:val="single" w:color="DBEAFE" w:sz="1"/>
                  </w:tcBorders>
                  <w:shd w:fill="334155" w:val="clear"/>
                  <w:tcMar>
                    <w:top w:type="dxa" w:w="60"/>
                    <w:left w:type="dxa" w:w="80"/>
                    <w:bottom w:type="dxa" w:w="60"/>
                    <w:right w:type="dxa" w:w="80"/>
                  </w:tcMar>
                </w:tcPr>
                <w:p>
                  <w:pPr>
                    <w:jc w:val="center"/>
                  </w:pPr>
                  <w:r>
                    <w:rPr>
                      <w:rFonts w:ascii="Arial" w:cs="Arial" w:eastAsia="Arial" w:hAnsi="Arial"/>
                      <w:b/>
                      <w:bCs/>
                      <w:color w:val="FFFFFF"/>
                      <w:sz w:val="15"/>
                      <w:szCs w:val="15"/>
                    </w:rPr>
                    <w:t xml:space="preserve">Ref.</w:t>
                  </w:r>
                </w:p>
              </w:tc>
              <w:tc>
                <w:tcPr>
                  <w:tcW w:type="auto" w:w="20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Control</w:t>
                  </w:r>
                </w:p>
              </w:tc>
              <w:tc>
                <w:tcPr>
                  <w:tcW w:type="auto" w:w="296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Requirement</w:t>
                  </w:r>
                </w:p>
              </w:tc>
              <w:tc>
                <w:tcPr>
                  <w:tcW w:type="auto" w:w="22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Key evidence</w:t>
                  </w:r>
                </w:p>
              </w:tc>
              <w:tc>
                <w:tcPr>
                  <w:tcW w:type="auto" w:w="1600"/>
                  <w:tcBorders>
                    <w:top w:val="none" w:color="FFFFFF" w:sz="0"/>
                    <w:left w:val="single" w:color="DBEAFE" w:sz="1"/>
                    <w:bottom w:val="single" w:color="DBEAFE" w:sz="1"/>
                    <w:right w:val="none" w:color="FFFFFF" w:sz="0"/>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Regulatory link</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991B1B"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8.23 ★</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Web filtering</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Access to external websites must be managed to reduce exposure to malicious content. Filter categories covering malware distribution, phishing, prohibited content, and acceptable use policy violations.</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Web filtering policy. Web filter configuration showing blocked categories. Filtering coverage report (which users/endpoints are covered). Alert logs for blocked access attempts.</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IT acceptable use policy; BSSN malicious website blocking guidance</w:t>
                  </w:r>
                </w:p>
              </w:tc>
            </w:tr>
          </w:tbl>
          <w:p/>
        </w:tc>
      </w:tr>
      <w:tr>
        <w:tc>
          <w:tcPr>
            <w:tcW w:type="dxa" w:w="9360"/>
            <w:tcBorders>
              <w:top w:val="single" w:color="DBEAFE" w:sz="1"/>
              <w:left w:val="single" w:color="DBEAFE" w:sz="1"/>
              <w:bottom w:val="single" w:color="DBEAFE" w:sz="1"/>
              <w:right w:val="single" w:color="DBEAFE" w:sz="1"/>
            </w:tcBorders>
            <w:shd w:fill="0F766E" w:val="clear"/>
            <w:tcMar>
              <w:top w:type="dxa" w:w="70"/>
              <w:left w:type="dxa" w:w="130"/>
              <w:bottom w:type="dxa" w:w="70"/>
              <w:right w:type="dxa" w:w="130"/>
            </w:tcMar>
          </w:tcPr>
          <w:p>
            <w:r>
              <w:rPr>
                <w:rFonts w:ascii="Arial" w:cs="Arial" w:eastAsia="Arial" w:hAnsi="Arial"/>
                <w:b/>
                <w:bCs/>
                <w:color w:val="FFFFFF"/>
                <w:sz w:val="18"/>
                <w:szCs w:val="18"/>
              </w:rPr>
              <w:t xml:space="preserve">8.24 — Cryptography</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auto" w:w="600"/>
                  <w:tcBorders>
                    <w:top w:val="none" w:color="FFFFFF" w:sz="0"/>
                    <w:left w:val="none" w:color="FFFFFF" w:sz="0"/>
                    <w:bottom w:val="single" w:color="DBEAFE" w:sz="1"/>
                    <w:right w:val="single" w:color="DBEAFE" w:sz="1"/>
                  </w:tcBorders>
                  <w:shd w:fill="334155" w:val="clear"/>
                  <w:tcMar>
                    <w:top w:type="dxa" w:w="60"/>
                    <w:left w:type="dxa" w:w="80"/>
                    <w:bottom w:type="dxa" w:w="60"/>
                    <w:right w:type="dxa" w:w="80"/>
                  </w:tcMar>
                </w:tcPr>
                <w:p>
                  <w:pPr>
                    <w:jc w:val="center"/>
                  </w:pPr>
                  <w:r>
                    <w:rPr>
                      <w:rFonts w:ascii="Arial" w:cs="Arial" w:eastAsia="Arial" w:hAnsi="Arial"/>
                      <w:b/>
                      <w:bCs/>
                      <w:color w:val="FFFFFF"/>
                      <w:sz w:val="15"/>
                      <w:szCs w:val="15"/>
                    </w:rPr>
                    <w:t xml:space="preserve">Ref.</w:t>
                  </w:r>
                </w:p>
              </w:tc>
              <w:tc>
                <w:tcPr>
                  <w:tcW w:type="auto" w:w="20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Control</w:t>
                  </w:r>
                </w:p>
              </w:tc>
              <w:tc>
                <w:tcPr>
                  <w:tcW w:type="auto" w:w="296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Requirement</w:t>
                  </w:r>
                </w:p>
              </w:tc>
              <w:tc>
                <w:tcPr>
                  <w:tcW w:type="auto" w:w="22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Key evidence</w:t>
                  </w:r>
                </w:p>
              </w:tc>
              <w:tc>
                <w:tcPr>
                  <w:tcW w:type="auto" w:w="1600"/>
                  <w:tcBorders>
                    <w:top w:val="none" w:color="FFFFFF" w:sz="0"/>
                    <w:left w:val="single" w:color="DBEAFE" w:sz="1"/>
                    <w:bottom w:val="single" w:color="DBEAFE" w:sz="1"/>
                    <w:right w:val="none" w:color="FFFFFF" w:sz="0"/>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Regulatory link</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0F766E"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8.24</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Use of cryptography</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Define and implement rules for the use of cryptography, including cryptographic key management. Specify approved algorithms, key lengths, and use cases. Key management lifecycle.</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Cryptography policy. Approved algorithm register. Key management procedure. Certificate inventory with renewal tracking. Encryption-at-rest and in-transit configuration evidence.</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UU PDP encryption obligation for personal data; POJK cryptography requirements; Bank Indonesia payment data encryption standards</w:t>
                  </w:r>
                </w:p>
              </w:tc>
            </w:tr>
          </w:tbl>
          <w:p/>
        </w:tc>
      </w:tr>
      <w:tr>
        <w:tc>
          <w:tcPr>
            <w:tcW w:type="dxa" w:w="9360"/>
            <w:tcBorders>
              <w:top w:val="single" w:color="DBEAFE" w:sz="1"/>
              <w:left w:val="single" w:color="DBEAFE" w:sz="1"/>
              <w:bottom w:val="single" w:color="DBEAFE" w:sz="1"/>
              <w:right w:val="single" w:color="DBEAFE" w:sz="1"/>
            </w:tcBorders>
            <w:shd w:fill="334155" w:val="clear"/>
            <w:tcMar>
              <w:top w:type="dxa" w:w="70"/>
              <w:left w:type="dxa" w:w="130"/>
              <w:bottom w:type="dxa" w:w="70"/>
              <w:right w:type="dxa" w:w="130"/>
            </w:tcMar>
          </w:tcPr>
          <w:p>
            <w:r>
              <w:rPr>
                <w:rFonts w:ascii="Arial" w:cs="Arial" w:eastAsia="Arial" w:hAnsi="Arial"/>
                <w:b/>
                <w:bCs/>
                <w:color w:val="FFFFFF"/>
                <w:sz w:val="18"/>
                <w:szCs w:val="18"/>
              </w:rPr>
              <w:t xml:space="preserve">8.25–8.34 — Secure Development</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auto" w:w="600"/>
                  <w:tcBorders>
                    <w:top w:val="none" w:color="FFFFFF" w:sz="0"/>
                    <w:left w:val="none" w:color="FFFFFF" w:sz="0"/>
                    <w:bottom w:val="single" w:color="DBEAFE" w:sz="1"/>
                    <w:right w:val="single" w:color="DBEAFE" w:sz="1"/>
                  </w:tcBorders>
                  <w:shd w:fill="334155" w:val="clear"/>
                  <w:tcMar>
                    <w:top w:type="dxa" w:w="60"/>
                    <w:left w:type="dxa" w:w="80"/>
                    <w:bottom w:type="dxa" w:w="60"/>
                    <w:right w:type="dxa" w:w="80"/>
                  </w:tcMar>
                </w:tcPr>
                <w:p>
                  <w:pPr>
                    <w:jc w:val="center"/>
                  </w:pPr>
                  <w:r>
                    <w:rPr>
                      <w:rFonts w:ascii="Arial" w:cs="Arial" w:eastAsia="Arial" w:hAnsi="Arial"/>
                      <w:b/>
                      <w:bCs/>
                      <w:color w:val="FFFFFF"/>
                      <w:sz w:val="15"/>
                      <w:szCs w:val="15"/>
                    </w:rPr>
                    <w:t xml:space="preserve">Ref.</w:t>
                  </w:r>
                </w:p>
              </w:tc>
              <w:tc>
                <w:tcPr>
                  <w:tcW w:type="auto" w:w="20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Control</w:t>
                  </w:r>
                </w:p>
              </w:tc>
              <w:tc>
                <w:tcPr>
                  <w:tcW w:type="auto" w:w="296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Requirement</w:t>
                  </w:r>
                </w:p>
              </w:tc>
              <w:tc>
                <w:tcPr>
                  <w:tcW w:type="auto" w:w="2200"/>
                  <w:tcBorders>
                    <w:top w:val="none" w:color="FFFFFF" w:sz="0"/>
                    <w:left w:val="single" w:color="DBEAFE" w:sz="1"/>
                    <w:bottom w:val="single" w:color="DBEAFE" w:sz="1"/>
                    <w:right w:val="single" w:color="DBEAFE" w:sz="1"/>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Key evidence</w:t>
                  </w:r>
                </w:p>
              </w:tc>
              <w:tc>
                <w:tcPr>
                  <w:tcW w:type="auto" w:w="1600"/>
                  <w:tcBorders>
                    <w:top w:val="none" w:color="FFFFFF" w:sz="0"/>
                    <w:left w:val="single" w:color="DBEAFE" w:sz="1"/>
                    <w:bottom w:val="single" w:color="DBEAFE" w:sz="1"/>
                    <w:right w:val="none" w:color="FFFFFF" w:sz="0"/>
                  </w:tcBorders>
                  <w:shd w:fill="334155" w:val="clear"/>
                  <w:tcMar>
                    <w:top w:type="dxa" w:w="60"/>
                    <w:left w:type="dxa" w:w="90"/>
                    <w:bottom w:type="dxa" w:w="60"/>
                    <w:right w:type="dxa" w:w="90"/>
                  </w:tcMar>
                </w:tcPr>
                <w:p>
                  <w:r>
                    <w:rPr>
                      <w:rFonts w:ascii="Arial" w:cs="Arial" w:eastAsia="Arial" w:hAnsi="Arial"/>
                      <w:b/>
                      <w:bCs/>
                      <w:color w:val="FFFFFF"/>
                      <w:sz w:val="15"/>
                      <w:szCs w:val="15"/>
                    </w:rPr>
                    <w:t xml:space="preserve">Regulatory link</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334155"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8.25</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Secure development life cycle</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Establish and apply rules for the secure development of software and systems. Security is integrated into the SDLC — not added at the end. Security requirements defined at design phase.</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Secure SDLC policy/procedure. Security review gates in development workflow. Security requirements template for project initiation. Training records for development team.</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IT development security requirements; OJK software quality and security guidance</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334155"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8.26</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Application security requirements</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Define, specify, and approve information security requirements for all applications. Security requirements documented at design phase. API security requirements included.</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Application security requirements template. Security requirements sections in design documents. Security review sign-off in project documentation.</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application security requirements; BI payment application security</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334155"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8.27</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Secure system architecture and engineering principles</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Establish, document, maintain, and apply security engineering principles for any information system engineering activities. Zero trust, defense in depth, least privilege by design.</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Security architecture principles document. Architecture review records for significant new systems. Security design review checklists.</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system design security requirements; BSSN secure architecture guidelines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334155"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8.28 ★</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Secure coding</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Apply secure coding principles to software development. Developers trained in secure coding. SAST integrated in CI/CD. Code review process includes security. OWASP Top 10 addressed.</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Secure coding standard document. Developer training records. SAST tool integration evidence (CI/CD configuration, sample scan output). Code review records showing security checklist.</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software security requirements; OJK application security testing guidance</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334155"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8.29</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Security testing in development and acceptance</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Security testing processes must be defined and implemented for development and acceptance environments. Penetration testing, DAST, and security acceptance testing prior to production.</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Security testing procedure. Pentest reports (annual minimum for critical apps). DAST scan records. Security acceptance test evidence before go-live.</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IT testing requirements; OJK application security assessment requirements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334155"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8.30</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Outsourced development</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Supervise and monitor outsourced system development activities. Security requirements in contracts with development vendors. Code review and security assessment before accepting deliverables.</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Outsourced development security requirements in vendor contracts. Code review records for outsourced code. Security assessment records before production deployment.</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outsourcing IT development requirements; OJK vendor management for development</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334155"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8.31</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Separation of development, test and production environments</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Development, testing, and production environments must be separated to reduce risk of unauthorized access or changes to the production environment.</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Network/infrastructure evidence showing environment separation. Access control evidence showing different credentials per environment. Deployment pipeline showing promotion controls.</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environment separation requirements; BI payment system environment controls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334155"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8.32</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Change management</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Changes to information processing facilities and information systems must follow a formal change management procedure. Security review as a gate in the change process.</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Change management procedure. Sample change records showing security review field completed. CAB records. Emergency change procedure.</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IT change management requirements; BI payment system change controls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334155"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8.33</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Test information</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Test information must be selected, protected, and managed appropriately. Personal data must not be used in test environments without appropriate data masking.</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Test data management procedure. Evidence that production personal data is masked before use in test. Test data classification and handling records.</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UU PDP prohibition on using real personal data in test environments without protection; POJK test data controls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2960"/>
              <w:gridCol w:w="2200"/>
              <w:gridCol w:w="1600"/>
            </w:tblGrid>
            <w:tr>
              <w:tc>
                <w:tcPr>
                  <w:tcW w:type="dxa" w:w="600"/>
                  <w:tcBorders>
                    <w:top w:val="none" w:color="FFFFFF" w:sz="0"/>
                    <w:left w:val="none" w:color="FFFFFF" w:sz="0"/>
                    <w:bottom w:val="none" w:color="FFFFFF" w:sz="0"/>
                    <w:right w:val="single" w:color="DBEAFE" w:sz="1"/>
                  </w:tcBorders>
                  <w:shd w:fill="334155" w:val="clear"/>
                  <w:tcMar>
                    <w:top w:type="dxa" w:w="90"/>
                    <w:left w:type="dxa" w:w="90"/>
                    <w:bottom w:type="dxa" w:w="90"/>
                    <w:right w:type="dxa" w:w="90"/>
                  </w:tcMar>
                  <w:vAlign w:val="center"/>
                </w:tcPr>
                <w:p>
                  <w:pPr>
                    <w:jc w:val="center"/>
                  </w:pPr>
                  <w:r>
                    <w:rPr>
                      <w:rFonts w:ascii="Arial" w:cs="Arial" w:eastAsia="Arial" w:hAnsi="Arial"/>
                      <w:b/>
                      <w:bCs/>
                      <w:color w:val="FFFFFF"/>
                      <w:sz w:val="16"/>
                      <w:szCs w:val="16"/>
                    </w:rPr>
                    <w:t xml:space="preserve">8.34</w:t>
                  </w:r>
                </w:p>
              </w:tc>
              <w:tc>
                <w:tcPr>
                  <w:tcW w:type="dxa" w:w="2000"/>
                  <w:tcBorders>
                    <w:top w:val="none" w:color="FFFFFF" w:sz="0"/>
                    <w:left w:val="single" w:color="DBEAFE" w:sz="1"/>
                    <w:bottom w:val="none" w:color="FFFFFF" w:sz="0"/>
                    <w:right w:val="single" w:color="DBEAFE" w:sz="1"/>
                  </w:tcBorders>
                  <w:shd w:fill="F3F4F6" w:val="clear"/>
                  <w:tcMar>
                    <w:top w:type="dxa" w:w="90"/>
                    <w:left w:type="dxa" w:w="100"/>
                    <w:bottom w:type="dxa" w:w="90"/>
                    <w:right w:type="dxa" w:w="100"/>
                  </w:tcMar>
                </w:tcPr>
                <w:p>
                  <w:r>
                    <w:rPr>
                      <w:rFonts w:ascii="Arial" w:cs="Arial" w:eastAsia="Arial" w:hAnsi="Arial"/>
                      <w:b/>
                      <w:bCs/>
                      <w:color w:val="1B3A5C"/>
                      <w:sz w:val="17"/>
                      <w:szCs w:val="17"/>
                    </w:rPr>
                    <w:t xml:space="preserve">Protection of information systems during audit testing</w:t>
                  </w:r>
                </w:p>
              </w:tc>
              <w:tc>
                <w:tcPr>
                  <w:tcW w:type="dxa" w:w="2960"/>
                  <w:tcBorders>
                    <w:top w:val="none" w:color="FFFFFF" w:sz="0"/>
                    <w:left w:val="single" w:color="DBEAFE" w:sz="1"/>
                    <w:bottom w:val="none" w:color="FFFFFF" w:sz="0"/>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7"/>
                      <w:szCs w:val="17"/>
                    </w:rPr>
                    <w:t xml:space="preserve">Audit tests and other assurance activities involving assessment of operational systems shall be planned and agreed to minimize disruption to business processes.</w:t>
                  </w:r>
                </w:p>
              </w:tc>
              <w:tc>
                <w:tcPr>
                  <w:tcW w:type="dxa" w:w="2200"/>
                  <w:tcBorders>
                    <w:top w:val="none" w:color="FFFFFF" w:sz="0"/>
                    <w:left w:val="single" w:color="DBEAFE" w:sz="1"/>
                    <w:bottom w:val="none" w:color="FFFFFF" w:sz="0"/>
                    <w:right w:val="single" w:color="DBEAFE" w:sz="1"/>
                  </w:tcBorders>
                  <w:shd w:fill="ECFDF5" w:val="clear"/>
                  <w:tcMar>
                    <w:top w:type="dxa" w:w="90"/>
                    <w:left w:type="dxa" w:w="100"/>
                    <w:bottom w:type="dxa" w:w="90"/>
                    <w:right w:type="dxa" w:w="100"/>
                  </w:tcMar>
                </w:tcPr>
                <w:p>
                  <w:r>
                    <w:rPr>
                      <w:rFonts w:ascii="Georgia" w:cs="Georgia" w:eastAsia="Georgia" w:hAnsi="Georgia"/>
                      <w:i/>
                      <w:iCs/>
                      <w:color w:val="065F46"/>
                      <w:sz w:val="15"/>
                      <w:szCs w:val="15"/>
                    </w:rPr>
                    <w:t xml:space="preserve">Audit test access control procedure. Audit scope agreement documentation. Records of audit access granted and revoked. Post-audit confirmation of no data modification.</w:t>
                  </w:r>
                </w:p>
              </w:tc>
              <w:tc>
                <w:tcPr>
                  <w:tcW w:type="dxa" w:w="1600"/>
                  <w:tcBorders>
                    <w:top w:val="none" w:color="FFFFFF" w:sz="0"/>
                    <w:left w:val="single" w:color="DBEAFE" w:sz="1"/>
                    <w:bottom w:val="none" w:color="FFFFFF" w:sz="0"/>
                    <w:right w:val="none" w:color="FFFFFF" w:sz="0"/>
                  </w:tcBorders>
                  <w:shd w:fill="EEF2FF" w:val="clear"/>
                  <w:tcMar>
                    <w:top w:type="dxa" w:w="90"/>
                    <w:left w:type="dxa" w:w="90"/>
                    <w:bottom w:type="dxa" w:w="90"/>
                    <w:right w:type="dxa" w:w="90"/>
                  </w:tcMar>
                </w:tcPr>
                <w:p>
                  <w:r>
                    <w:rPr>
                      <w:rFonts w:ascii="Georgia" w:cs="Georgia" w:eastAsia="Georgia" w:hAnsi="Georgia"/>
                      <w:i/>
                      <w:iCs/>
                      <w:color w:val="3730A3"/>
                      <w:sz w:val="14"/>
                      <w:szCs w:val="14"/>
                    </w:rPr>
                    <w:t xml:space="preserve">POJK IT audit access controls; OJK examination access management</w:t>
                  </w:r>
                </w:p>
              </w:tc>
            </w:tr>
          </w:tbl>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7 New 2022 Controls: Implementation Deep Dive</w:t>
      </w:r>
    </w:p>
    <w:p>
      <w:pPr>
        <w:spacing w:after="80"/>
      </w:pPr>
      <w:r>
        <w:t xml:space="preserve"/>
      </w:r>
    </w:p>
    <w:p>
      <w:pPr>
        <w:spacing w:after="160" w:line="320"/>
        <w:jc w:val="both"/>
      </w:pPr>
      <w:r>
        <w:rPr>
          <w:rFonts w:ascii="Georgia" w:cs="Georgia" w:eastAsia="Georgia" w:hAnsi="Georgia"/>
          <w:color w:val="111827"/>
          <w:sz w:val="22"/>
          <w:szCs w:val="22"/>
        </w:rPr>
        <w:t xml:space="preserve">The 7 new controls in Domain 8 represent the areas where most first-cycle ISMS implementations have the largest gaps. Unlike established controls (MFA, vulnerability scanning, backup) where implementation is well understood, the new controls often require organizations to build processes from scratch. The table below provides specific implementation steps, maturity gap assessment, and evidence requirements for each:</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0"/>
        <w:gridCol w:w="1800"/>
        <w:gridCol w:w="1960"/>
        <w:gridCol w:w="2400"/>
        <w:gridCol w:w="1600"/>
        <w:gridCol w:w="600"/>
      </w:tblGrid>
      <w:tr>
        <w:tc>
          <w:tcPr>
            <w:tcW w:type="dxa" w:w="1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Control ★</w:t>
            </w:r>
          </w:p>
        </w:tc>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Name</w:t>
            </w:r>
          </w:p>
        </w:tc>
        <w:tc>
          <w:tcPr>
            <w:tcW w:type="dxa" w:w="19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Maturity gap</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Implementation steps</w:t>
            </w:r>
          </w:p>
        </w:tc>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Evidence</w:t>
            </w:r>
          </w:p>
        </w:tc>
        <w:tc>
          <w:tcPr>
            <w:tcW w:type="dxa" w:w="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Reg. link</w:t>
            </w:r>
          </w:p>
        </w:tc>
      </w:tr>
      <w:tr>
        <w:tc>
          <w:tcPr>
            <w:tcW w:type="auto" w:w="1000"/>
            <w:tcBorders>
              <w:top w:val="single" w:color="DBEAFE" w:sz="1"/>
              <w:left w:val="single" w:color="DBEAFE" w:sz="1"/>
              <w:bottom w:val="single" w:color="DBEAFE" w:sz="1"/>
              <w:right w:val="single" w:color="DBEAFE" w:sz="1"/>
            </w:tcBorders>
            <w:shd w:fill="0F766E" w:val="clear"/>
            <w:tcMar>
              <w:top w:type="dxa" w:w="100"/>
              <w:left w:type="dxa" w:w="100"/>
              <w:bottom w:type="dxa" w:w="100"/>
              <w:right w:type="dxa" w:w="100"/>
            </w:tcMar>
          </w:tcPr>
          <w:p>
            <w:r>
              <w:rPr>
                <w:rFonts w:ascii="Arial" w:cs="Arial" w:eastAsia="Arial" w:hAnsi="Arial"/>
                <w:b/>
                <w:bCs/>
                <w:color w:val="FFFFFF"/>
                <w:sz w:val="17"/>
                <w:szCs w:val="17"/>
              </w:rPr>
              <w:t xml:space="preserve">8.9 ★</w:t>
            </w:r>
          </w:p>
        </w:tc>
        <w:tc>
          <w:tcPr>
            <w:tcW w:type="auto" w:w="1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Configuration management</w:t>
            </w:r>
          </w:p>
        </w:tc>
        <w:tc>
          <w:tcPr>
            <w:tcW w:type="auto" w:w="196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7"/>
                <w:szCs w:val="17"/>
              </w:rPr>
              <w:t xml:space="preserve">Most organizations have configurations — few have documented, monitored baseline configurations with drift detection.</w:t>
            </w:r>
          </w:p>
        </w:tc>
        <w:tc>
          <w:tcPr>
            <w:tcW w:type="auto" w:w="24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1. Inventory all in-scope systems. 2. Define secure baseline configuration per system type (OS hardening guides: CIS Benchmarks are excellent starting points). 3. Document baselines as controlled documents. 4. Implement automated compliance scanning (OpenSCAP, Nessus, CIS-CAT). 5. Remediate deviations. 6. Include configuration change in change management process.</w:t>
            </w:r>
          </w:p>
        </w:tc>
        <w:tc>
          <w:tcPr>
            <w:tcW w:type="auto" w:w="16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CIS Benchmark hardening documents adapted for your environment. Automated compliance scan output. Configuration change records linked to change management tickets.</w:t>
            </w:r>
          </w:p>
        </w:tc>
        <w:tc>
          <w:tcPr>
            <w:tcW w:type="auto" w:w="60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BSSN SNI hardening guidelines; POJK system configuration security</w:t>
            </w:r>
          </w:p>
        </w:tc>
      </w:tr>
      <w:tr>
        <w:tc>
          <w:tcPr>
            <w:tcW w:type="auto" w:w="1000"/>
            <w:tcBorders>
              <w:top w:val="single" w:color="DBEAFE" w:sz="1"/>
              <w:left w:val="single" w:color="DBEAFE" w:sz="1"/>
              <w:bottom w:val="single" w:color="DBEAFE" w:sz="1"/>
              <w:right w:val="single" w:color="DBEAFE" w:sz="1"/>
            </w:tcBorders>
            <w:shd w:fill="3730A3" w:val="clear"/>
            <w:tcMar>
              <w:top w:type="dxa" w:w="100"/>
              <w:left w:type="dxa" w:w="100"/>
              <w:bottom w:type="dxa" w:w="100"/>
              <w:right w:type="dxa" w:w="100"/>
            </w:tcMar>
          </w:tcPr>
          <w:p>
            <w:r>
              <w:rPr>
                <w:rFonts w:ascii="Arial" w:cs="Arial" w:eastAsia="Arial" w:hAnsi="Arial"/>
                <w:b/>
                <w:bCs/>
                <w:color w:val="FFFFFF"/>
                <w:sz w:val="17"/>
                <w:szCs w:val="17"/>
              </w:rPr>
              <w:t xml:space="preserve">8.10 ★</w:t>
            </w:r>
          </w:p>
        </w:tc>
        <w:tc>
          <w:tcPr>
            <w:tcW w:type="auto" w:w="1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Information deletion</w:t>
            </w:r>
          </w:p>
        </w:tc>
        <w:tc>
          <w:tcPr>
            <w:tcW w:type="auto" w:w="196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7"/>
                <w:szCs w:val="17"/>
              </w:rPr>
              <w:t xml:space="preserve">Most organizations have data retention policies. Far fewer have documented deletion procedures with evidence of execution — especially for cloud storage and SaaS platforms.</w:t>
            </w:r>
          </w:p>
        </w:tc>
        <w:tc>
          <w:tcPr>
            <w:tcW w:type="auto" w:w="24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1. Define data retention periods by data category (personal data, transactional data, log data). 2. Define deletion triggers (retention period expiry, data subject erasure request, contract end). 3. Define secure deletion methods per storage medium (NIST SP 800-88 guidance). 4. Implement automated deletion where possible. 5. Record deletion evidence — date, data category, deletion method, approver.</w:t>
            </w:r>
          </w:p>
        </w:tc>
        <w:tc>
          <w:tcPr>
            <w:tcW w:type="auto" w:w="16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Data retention and deletion policy. Deletion schedule per data category. Deletion execution records. Secure deletion tool output or signed manual deletion certificates.</w:t>
            </w:r>
          </w:p>
        </w:tc>
        <w:tc>
          <w:tcPr>
            <w:tcW w:type="auto" w:w="60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UU PDP Article 28 right to erasure; UU PDP Article 67 data minimization; KOMINFO retention guidelines</w:t>
            </w:r>
          </w:p>
        </w:tc>
      </w:tr>
      <w:tr>
        <w:tc>
          <w:tcPr>
            <w:tcW w:type="auto" w:w="1000"/>
            <w:tcBorders>
              <w:top w:val="single" w:color="DBEAFE" w:sz="1"/>
              <w:left w:val="single" w:color="DBEAFE" w:sz="1"/>
              <w:bottom w:val="single" w:color="DBEAFE" w:sz="1"/>
              <w:right w:val="single" w:color="DBEAFE" w:sz="1"/>
            </w:tcBorders>
            <w:shd w:fill="3730A3" w:val="clear"/>
            <w:tcMar>
              <w:top w:type="dxa" w:w="100"/>
              <w:left w:type="dxa" w:w="100"/>
              <w:bottom w:type="dxa" w:w="100"/>
              <w:right w:type="dxa" w:w="100"/>
            </w:tcMar>
          </w:tcPr>
          <w:p>
            <w:r>
              <w:rPr>
                <w:rFonts w:ascii="Arial" w:cs="Arial" w:eastAsia="Arial" w:hAnsi="Arial"/>
                <w:b/>
                <w:bCs/>
                <w:color w:val="FFFFFF"/>
                <w:sz w:val="17"/>
                <w:szCs w:val="17"/>
              </w:rPr>
              <w:t xml:space="preserve">8.11 ★</w:t>
            </w:r>
          </w:p>
        </w:tc>
        <w:tc>
          <w:tcPr>
            <w:tcW w:type="auto" w:w="1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Data masking</w:t>
            </w:r>
          </w:p>
        </w:tc>
        <w:tc>
          <w:tcPr>
            <w:tcW w:type="auto" w:w="196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7"/>
                <w:szCs w:val="17"/>
              </w:rPr>
              <w:t xml:space="preserve">Organizations that use production data in development or testing without masking are highly exposed under UU PDP. This is one of the most common post-UU PDP enforcement findings.</w:t>
            </w:r>
          </w:p>
        </w:tc>
        <w:tc>
          <w:tcPr>
            <w:tcW w:type="auto" w:w="24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1. Identify all non-production environments that access or receive production data. 2. Classify the personal data fields in production datasets. 3. Implement data masking before extraction to non-production (masking tools: Oracle Data Masking, Delphix, open-source options). 4. Document the masking method for each field type. 5. Verify that masked data is functionally usable for testing purposes.</w:t>
            </w:r>
          </w:p>
        </w:tc>
        <w:tc>
          <w:tcPr>
            <w:tcW w:type="auto" w:w="16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Data masking policy. Evidence that masked data is used in dev/test (extract records showing masked values). Masking configuration or procedure documentation.</w:t>
            </w:r>
          </w:p>
        </w:tc>
        <w:tc>
          <w:tcPr>
            <w:tcW w:type="auto" w:w="60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UU PDP personal data protection in non-production contexts; POJK test data security</w:t>
            </w:r>
          </w:p>
        </w:tc>
      </w:tr>
      <w:tr>
        <w:tc>
          <w:tcPr>
            <w:tcW w:type="auto" w:w="1000"/>
            <w:tcBorders>
              <w:top w:val="single" w:color="DBEAFE" w:sz="1"/>
              <w:left w:val="single" w:color="DBEAFE" w:sz="1"/>
              <w:bottom w:val="single" w:color="DBEAFE" w:sz="1"/>
              <w:right w:val="single" w:color="DBEAFE" w:sz="1"/>
            </w:tcBorders>
            <w:shd w:fill="3730A3" w:val="clear"/>
            <w:tcMar>
              <w:top w:type="dxa" w:w="100"/>
              <w:left w:type="dxa" w:w="100"/>
              <w:bottom w:type="dxa" w:w="100"/>
              <w:right w:type="dxa" w:w="100"/>
            </w:tcMar>
          </w:tcPr>
          <w:p>
            <w:r>
              <w:rPr>
                <w:rFonts w:ascii="Arial" w:cs="Arial" w:eastAsia="Arial" w:hAnsi="Arial"/>
                <w:b/>
                <w:bCs/>
                <w:color w:val="FFFFFF"/>
                <w:sz w:val="17"/>
                <w:szCs w:val="17"/>
              </w:rPr>
              <w:t xml:space="preserve">8.12 ★</w:t>
            </w:r>
          </w:p>
        </w:tc>
        <w:tc>
          <w:tcPr>
            <w:tcW w:type="auto" w:w="1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Data leakage prevention</w:t>
            </w:r>
          </w:p>
        </w:tc>
        <w:tc>
          <w:tcPr>
            <w:tcW w:type="auto" w:w="196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7"/>
                <w:szCs w:val="17"/>
              </w:rPr>
              <w:t xml:space="preserve">DLP implementations range from email gateway content filtering (basic) to endpoint DLP with behavioral analytics (advanced). Most first-cycle ISMSs start with email and cloud upload controls.</w:t>
            </w:r>
          </w:p>
        </w:tc>
        <w:tc>
          <w:tcPr>
            <w:tcW w:type="auto" w:w="24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1. Define sensitive data categories requiring DLP protection (personal data, financial data, proprietary data). 2. Select DLP coverage points (email gateway, cloud upload, endpoint). 3. Configure detection policies per data category. 4. Establish alert response process. 5. Tune policies to reduce false positives while maintaining sensitivity. 6. Log DLP events as evidence.</w:t>
            </w:r>
          </w:p>
        </w:tc>
        <w:tc>
          <w:tcPr>
            <w:tcW w:type="auto" w:w="16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DLP policy document. DLP tool configuration showing monitored categories. DLP alert log and response records. False positive tuning records.</w:t>
            </w:r>
          </w:p>
        </w:tc>
        <w:tc>
          <w:tcPr>
            <w:tcW w:type="auto" w:w="60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UU PDP unauthorized disclosure prevention; POJK data leakage controls; OJK data security obligations</w:t>
            </w:r>
          </w:p>
        </w:tc>
      </w:tr>
      <w:tr>
        <w:tc>
          <w:tcPr>
            <w:tcW w:type="auto" w:w="1000"/>
            <w:tcBorders>
              <w:top w:val="single" w:color="DBEAFE" w:sz="1"/>
              <w:left w:val="single" w:color="DBEAFE" w:sz="1"/>
              <w:bottom w:val="single" w:color="DBEAFE" w:sz="1"/>
              <w:right w:val="single" w:color="DBEAFE" w:sz="1"/>
            </w:tcBorders>
            <w:shd w:fill="B45309" w:val="clear"/>
            <w:tcMar>
              <w:top w:type="dxa" w:w="100"/>
              <w:left w:type="dxa" w:w="100"/>
              <w:bottom w:type="dxa" w:w="100"/>
              <w:right w:type="dxa" w:w="100"/>
            </w:tcMar>
          </w:tcPr>
          <w:p>
            <w:r>
              <w:rPr>
                <w:rFonts w:ascii="Arial" w:cs="Arial" w:eastAsia="Arial" w:hAnsi="Arial"/>
                <w:b/>
                <w:bCs/>
                <w:color w:val="FFFFFF"/>
                <w:sz w:val="17"/>
                <w:szCs w:val="17"/>
              </w:rPr>
              <w:t xml:space="preserve">8.16 ★</w:t>
            </w:r>
          </w:p>
        </w:tc>
        <w:tc>
          <w:tcPr>
            <w:tcW w:type="auto" w:w="1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Monitoring activities</w:t>
            </w:r>
          </w:p>
        </w:tc>
        <w:tc>
          <w:tcPr>
            <w:tcW w:type="auto" w:w="196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7"/>
                <w:szCs w:val="17"/>
              </w:rPr>
              <w:t xml:space="preserve">Many organizations collect logs but do not analyze them. 8.16 requires active monitoring — alerting on anomalous behavior, not just passive log storage.</w:t>
            </w:r>
          </w:p>
        </w:tc>
        <w:tc>
          <w:tcPr>
            <w:tcW w:type="auto" w:w="24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1. Deploy SIEM or equivalent log aggregation and alerting platform. 2. Define alert rules per threat scenario (failed login threshold, privileged account after-hours access, bulk data export, malware detection). 3. Assign monitoring ownership with response SLA. 4. Document response procedure for each alert type. 5. Review alert quality quarterly — tune to reduce noise.</w:t>
            </w:r>
          </w:p>
        </w:tc>
        <w:tc>
          <w:tcPr>
            <w:tcW w:type="auto" w:w="16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SIEM configuration showing active alert rules. Alert response records (minimum 1 quarter). Monitoring coverage report. Alert rule documentation per threat scenario.</w:t>
            </w:r>
          </w:p>
        </w:tc>
        <w:tc>
          <w:tcPr>
            <w:tcW w:type="auto" w:w="60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BSSN MSSP and SOC guidelines; POJK IT security monitoring requirements</w:t>
            </w:r>
          </w:p>
        </w:tc>
      </w:tr>
      <w:tr>
        <w:tc>
          <w:tcPr>
            <w:tcW w:type="auto" w:w="1000"/>
            <w:tcBorders>
              <w:top w:val="single" w:color="DBEAFE" w:sz="1"/>
              <w:left w:val="single" w:color="DBEAFE" w:sz="1"/>
              <w:bottom w:val="single" w:color="DBEAFE" w:sz="1"/>
              <w:right w:val="single" w:color="DBEAFE" w:sz="1"/>
            </w:tcBorders>
            <w:shd w:fill="991B1B" w:val="clear"/>
            <w:tcMar>
              <w:top w:type="dxa" w:w="100"/>
              <w:left w:type="dxa" w:w="100"/>
              <w:bottom w:type="dxa" w:w="100"/>
              <w:right w:type="dxa" w:w="100"/>
            </w:tcMar>
          </w:tcPr>
          <w:p>
            <w:r>
              <w:rPr>
                <w:rFonts w:ascii="Arial" w:cs="Arial" w:eastAsia="Arial" w:hAnsi="Arial"/>
                <w:b/>
                <w:bCs/>
                <w:color w:val="FFFFFF"/>
                <w:sz w:val="17"/>
                <w:szCs w:val="17"/>
              </w:rPr>
              <w:t xml:space="preserve">8.23 ★</w:t>
            </w:r>
          </w:p>
        </w:tc>
        <w:tc>
          <w:tcPr>
            <w:tcW w:type="auto" w:w="1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Web filtering</w:t>
            </w:r>
          </w:p>
        </w:tc>
        <w:tc>
          <w:tcPr>
            <w:tcW w:type="auto" w:w="196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7"/>
                <w:szCs w:val="17"/>
              </w:rPr>
              <w:t xml:space="preserve">Web filtering is widely deployed but often not formally documented as an ISMS control with defined categories, coverage, and evidence.</w:t>
            </w:r>
          </w:p>
        </w:tc>
        <w:tc>
          <w:tcPr>
            <w:tcW w:type="auto" w:w="24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1. Define acceptable use policy (the policy basis for filtering). 2. Select filtering platform (DNS-based, proxy-based, or endpoint agent — each with different coverage scope). 3. Configure blocked categories (malware, phishing, adult, gambling minimum; extend based on risk profile). 4. Ensure coverage extends to remote workers and mobile devices. 5. Log blocked access attempts as evidence.</w:t>
            </w:r>
          </w:p>
        </w:tc>
        <w:tc>
          <w:tcPr>
            <w:tcW w:type="auto" w:w="16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Web filtering policy. Filter configuration screenshot showing blocked categories. Coverage report showing remote/mobile device inclusion. Blocked access attempt log.</w:t>
            </w:r>
          </w:p>
        </w:tc>
        <w:tc>
          <w:tcPr>
            <w:tcW w:type="auto" w:w="60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POJK acceptable use requirements; BSSN malicious website blocking guidance</w:t>
            </w:r>
          </w:p>
        </w:tc>
      </w:tr>
      <w:tr>
        <w:tc>
          <w:tcPr>
            <w:tcW w:type="auto" w:w="1000"/>
            <w:tcBorders>
              <w:top w:val="single" w:color="DBEAFE" w:sz="1"/>
              <w:left w:val="single" w:color="DBEAFE" w:sz="1"/>
              <w:bottom w:val="single" w:color="DBEAFE" w:sz="1"/>
              <w:right w:val="single" w:color="DBEAFE" w:sz="1"/>
            </w:tcBorders>
            <w:shd w:fill="334155" w:val="clear"/>
            <w:tcMar>
              <w:top w:type="dxa" w:w="100"/>
              <w:left w:type="dxa" w:w="100"/>
              <w:bottom w:type="dxa" w:w="100"/>
              <w:right w:type="dxa" w:w="100"/>
            </w:tcMar>
          </w:tcPr>
          <w:p>
            <w:r>
              <w:rPr>
                <w:rFonts w:ascii="Arial" w:cs="Arial" w:eastAsia="Arial" w:hAnsi="Arial"/>
                <w:b/>
                <w:bCs/>
                <w:color w:val="FFFFFF"/>
                <w:sz w:val="17"/>
                <w:szCs w:val="17"/>
              </w:rPr>
              <w:t xml:space="preserve">8.28 ★</w:t>
            </w:r>
          </w:p>
        </w:tc>
        <w:tc>
          <w:tcPr>
            <w:tcW w:type="auto" w:w="1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7"/>
                <w:szCs w:val="17"/>
              </w:rPr>
              <w:t xml:space="preserve">Secure coding</w:t>
            </w:r>
          </w:p>
        </w:tc>
        <w:tc>
          <w:tcPr>
            <w:tcW w:type="auto" w:w="196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7"/>
                <w:szCs w:val="17"/>
              </w:rPr>
              <w:t xml:space="preserve">Organizations that develop software vary enormously in secure coding maturity — from no SAST at all to advanced DevSecOps pipelines. ISO 27001 requires documented standards and training as a minimum.</w:t>
            </w:r>
          </w:p>
        </w:tc>
        <w:tc>
          <w:tcPr>
            <w:tcW w:type="auto" w:w="24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1. Publish a Secure Coding Standard aligned to your technology stack (OWASP Top 10 minimum). 2. Train all developers on secure coding (annual minimum, with SAST tool training). 3. Integrate SAST in CI/CD pipeline with quality gate blocking critical findings from merging. 4. Include security in code review checklist. 5. Track and remediate findings by severity SLA.</w:t>
            </w:r>
          </w:p>
        </w:tc>
        <w:tc>
          <w:tcPr>
            <w:tcW w:type="auto" w:w="16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Secure Coding Standard document (version-controlled). Developer training records. SAST tool CI/CD integration configuration. Sample scan output showing findings and remediation. Code review security checklist.</w:t>
            </w:r>
          </w:p>
        </w:tc>
        <w:tc>
          <w:tcPr>
            <w:tcW w:type="auto" w:w="60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POJK software security requirements; OJK application security; BSSN secure development guidelines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730A3" w:sz="1"/>
              <w:left w:val="single" w:color="3730A3" w:sz="12"/>
              <w:bottom w:val="single" w:color="3730A3" w:sz="1"/>
              <w:right w:val="single" w:color="3730A3" w:sz="1"/>
            </w:tcBorders>
            <w:shd w:fill="EEF2FF" w:val="clear"/>
            <w:tcMar>
              <w:top w:type="dxa" w:w="140"/>
              <w:left w:type="dxa" w:w="200"/>
              <w:bottom w:type="dxa" w:w="140"/>
              <w:right w:type="dxa" w:w="160"/>
            </w:tcMar>
          </w:tcPr>
          <w:p>
            <w:r>
              <w:rPr>
                <w:rFonts w:ascii="Georgia" w:cs="Georgia" w:eastAsia="Georgia" w:hAnsi="Georgia"/>
                <w:i/>
                <w:iCs/>
                <w:color w:val="3730A3"/>
                <w:sz w:val="21"/>
                <w:szCs w:val="21"/>
              </w:rPr>
              <w:t xml:space="preserve">UU PDP alignment of new data controls: Controls 8.10 (information deletion), 8.11 (data masking), and 8.12 (data leakage prevention) together form the technical implementation layer of UU PDP's personal data protection obligations. Organizations implementing these three controls to ISO 27001 standards will simultaneously satisfy UU PDP obligations on data minimization, erasure rights, and unauthorized disclosure prevention. The practical recommendation: treat the implementation of these three controls as a joint ISO 27001 + UU PDP workstream rather than a purely ISMS activity. The evidence produced serves both compliance programs.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Top 7 Domain 8 Audit Findings</w:t>
      </w:r>
    </w:p>
    <w:p>
      <w:pPr>
        <w:spacing w:after="80"/>
      </w:pPr>
      <w:r>
        <w:t xml:space="preserve"/>
      </w:r>
    </w:p>
    <w:p>
      <w:pPr>
        <w:spacing w:after="160" w:line="320"/>
        <w:jc w:val="both"/>
      </w:pPr>
      <w:r>
        <w:rPr>
          <w:rFonts w:ascii="Georgia" w:cs="Georgia" w:eastAsia="Georgia" w:hAnsi="Georgia"/>
          <w:color w:val="111827"/>
          <w:sz w:val="22"/>
          <w:szCs w:val="22"/>
        </w:rPr>
        <w:t xml:space="preserve">Domain 8 generates more Stage 2 audit findings than any other Annex A domain — because it contains the controls most testable through direct evidence: MFA enrollment reports, vulnerability scan outputs, SIEM alert logs, backup restoration records. The 7 findings below account for the majority of technical control nonconformities across first-cycle audits: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40"/>
        <w:gridCol w:w="760"/>
        <w:gridCol w:w="3040"/>
        <w:gridCol w:w="2520"/>
      </w:tblGrid>
      <w:tr>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Common audit finding</w:t>
            </w:r>
          </w:p>
        </w:tc>
        <w:tc>
          <w:tcPr>
            <w:tcW w:type="dxa" w:w="64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Control</w:t>
            </w:r>
          </w:p>
        </w:tc>
        <w:tc>
          <w:tcPr>
            <w:tcW w:type="dxa" w:w="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Frequency</w:t>
            </w:r>
          </w:p>
        </w:tc>
        <w:tc>
          <w:tcPr>
            <w:tcW w:type="dxa" w:w="304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What auditors find</w:t>
            </w:r>
          </w:p>
        </w:tc>
        <w:tc>
          <w:tcPr>
            <w:tcW w:type="dxa" w:w="252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Prevention and fix</w:t>
            </w:r>
          </w:p>
        </w:tc>
      </w:tr>
      <w:tr>
        <w:tc>
          <w:tcPr>
            <w:tcW w:type="auto" w:w="24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MFA not deployed for all accounts</w:t>
            </w:r>
          </w:p>
        </w:tc>
        <w:tc>
          <w:tcPr>
            <w:tcW w:type="auto" w:w="64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8.5</w:t>
            </w:r>
          </w:p>
        </w:tc>
        <w:tc>
          <w:tcPr>
            <w:tcW w:type="auto" w:w="760"/>
            <w:tcBorders>
              <w:top w:val="single" w:color="DBEAFE" w:sz="1"/>
              <w:left w:val="single" w:color="DBEAFE" w:sz="1"/>
              <w:bottom w:val="single" w:color="DBEAFE" w:sz="1"/>
              <w:right w:val="single" w:color="DBEAFE" w:sz="1"/>
            </w:tcBorders>
            <w:shd w:fill="F3F4F6" w:val="clear"/>
            <w:tcMar>
              <w:top w:type="dxa" w:w="100"/>
              <w:left w:type="dxa" w:w="80"/>
              <w:bottom w:type="dxa" w:w="100"/>
              <w:right w:type="dxa" w:w="80"/>
            </w:tcMar>
          </w:tcPr>
          <w:p>
            <w:pPr>
              <w:jc w:val="center"/>
            </w:pPr>
            <w:r>
              <w:rPr>
                <w:rFonts w:ascii="Georgia" w:cs="Georgia" w:eastAsia="Georgia" w:hAnsi="Georgia"/>
                <w:i/>
                <w:iCs/>
                <w:color w:val="4B5563"/>
                <w:sz w:val="15"/>
                <w:szCs w:val="15"/>
              </w:rPr>
              <w:t xml:space="preserve">Very common</w:t>
            </w:r>
          </w:p>
        </w:tc>
        <w:tc>
          <w:tcPr>
            <w:tcW w:type="auto" w:w="304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7"/>
                <w:szCs w:val="17"/>
              </w:rPr>
              <w:t xml:space="preserve">MFA deployed for privileged accounts but not for all staff. Remote access users without MFA. Service accounts with weak passwords and no MFA equivalent. Auditors request the IAM MFA enrollment report — partial coverage is an immediate finding.</w:t>
            </w:r>
          </w:p>
        </w:tc>
        <w:tc>
          <w:tcPr>
            <w:tcW w:type="auto" w:w="252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Deploy MFA for 100% of user accounts (not just admins). Use conditional access to enforce MFA for remote access as a minimum. For service accounts: use certificate-based auth or managed identities rather than passwords.</w:t>
            </w:r>
          </w:p>
        </w:tc>
      </w:tr>
      <w:tr>
        <w:tc>
          <w:tcPr>
            <w:tcW w:type="auto" w:w="24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Vulnerability scans not run or critical findings not remediated</w:t>
            </w:r>
          </w:p>
        </w:tc>
        <w:tc>
          <w:tcPr>
            <w:tcW w:type="auto" w:w="64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8.8</w:t>
            </w:r>
          </w:p>
        </w:tc>
        <w:tc>
          <w:tcPr>
            <w:tcW w:type="auto" w:w="760"/>
            <w:tcBorders>
              <w:top w:val="single" w:color="DBEAFE" w:sz="1"/>
              <w:left w:val="single" w:color="DBEAFE" w:sz="1"/>
              <w:bottom w:val="single" w:color="DBEAFE" w:sz="1"/>
              <w:right w:val="single" w:color="DBEAFE" w:sz="1"/>
            </w:tcBorders>
            <w:shd w:fill="FFFFFF" w:val="clear"/>
            <w:tcMar>
              <w:top w:type="dxa" w:w="100"/>
              <w:left w:type="dxa" w:w="80"/>
              <w:bottom w:type="dxa" w:w="100"/>
              <w:right w:type="dxa" w:w="80"/>
            </w:tcMar>
          </w:tcPr>
          <w:p>
            <w:pPr>
              <w:jc w:val="center"/>
            </w:pPr>
            <w:r>
              <w:rPr>
                <w:rFonts w:ascii="Georgia" w:cs="Georgia" w:eastAsia="Georgia" w:hAnsi="Georgia"/>
                <w:i/>
                <w:iCs/>
                <w:color w:val="4B5563"/>
                <w:sz w:val="15"/>
                <w:szCs w:val="15"/>
              </w:rPr>
              <w:t xml:space="preserve">Very common</w:t>
            </w:r>
          </w:p>
        </w:tc>
        <w:tc>
          <w:tcPr>
            <w:tcW w:type="auto" w:w="304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7"/>
                <w:szCs w:val="17"/>
              </w:rPr>
              <w:t xml:space="preserve">No documented vulnerability scan schedule. Scans run irregularly. Critical findings identified months ago with no remediation evidence. SLA (30 days for critical) not tracked. Auditors request the last two scan reports and remediation records.</w:t>
            </w:r>
          </w:p>
        </w:tc>
        <w:tc>
          <w:tcPr>
            <w:tcW w:type="auto" w:w="252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Define scan schedule (monthly for critical systems). Define remediation SLA per severity. Track open findings in the CAR register. Report vulnerability KPIs at management review: critical finding count and average time-to-remediation.</w:t>
            </w:r>
          </w:p>
        </w:tc>
      </w:tr>
      <w:tr>
        <w:tc>
          <w:tcPr>
            <w:tcW w:type="auto" w:w="24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Logging configured but not monitored</w:t>
            </w:r>
          </w:p>
        </w:tc>
        <w:tc>
          <w:tcPr>
            <w:tcW w:type="auto" w:w="64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8.15, 8.16</w:t>
            </w:r>
          </w:p>
        </w:tc>
        <w:tc>
          <w:tcPr>
            <w:tcW w:type="auto" w:w="760"/>
            <w:tcBorders>
              <w:top w:val="single" w:color="DBEAFE" w:sz="1"/>
              <w:left w:val="single" w:color="DBEAFE" w:sz="1"/>
              <w:bottom w:val="single" w:color="DBEAFE" w:sz="1"/>
              <w:right w:val="single" w:color="DBEAFE" w:sz="1"/>
            </w:tcBorders>
            <w:shd w:fill="F3F4F6" w:val="clear"/>
            <w:tcMar>
              <w:top w:type="dxa" w:w="100"/>
              <w:left w:type="dxa" w:w="80"/>
              <w:bottom w:type="dxa" w:w="100"/>
              <w:right w:type="dxa" w:w="80"/>
            </w:tcMar>
          </w:tcPr>
          <w:p>
            <w:pPr>
              <w:jc w:val="center"/>
            </w:pPr>
            <w:r>
              <w:rPr>
                <w:rFonts w:ascii="Georgia" w:cs="Georgia" w:eastAsia="Georgia" w:hAnsi="Georgia"/>
                <w:i/>
                <w:iCs/>
                <w:color w:val="4B5563"/>
                <w:sz w:val="15"/>
                <w:szCs w:val="15"/>
              </w:rPr>
              <w:t xml:space="preserve">Common</w:t>
            </w:r>
          </w:p>
        </w:tc>
        <w:tc>
          <w:tcPr>
            <w:tcW w:type="auto" w:w="304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7"/>
                <w:szCs w:val="17"/>
              </w:rPr>
              <w:t xml:space="preserve">Logs are collected but no alert rules exist. SIEM deployed but alert responses not documented. Logging coverage report cannot be produced. Clock synchronization not verified — log timestamps inconsistent across systems.</w:t>
            </w:r>
          </w:p>
        </w:tc>
        <w:tc>
          <w:tcPr>
            <w:tcW w:type="auto" w:w="252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Implement alert rules per threat scenario. Assign monitoring ownership with documented response SLA. Produce a monitoring coverage report. Verify NTP synchronization across all in-scope systems.</w:t>
            </w:r>
          </w:p>
        </w:tc>
      </w:tr>
      <w:tr>
        <w:tc>
          <w:tcPr>
            <w:tcW w:type="auto" w:w="24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Development environments use unmasked production data</w:t>
            </w:r>
          </w:p>
        </w:tc>
        <w:tc>
          <w:tcPr>
            <w:tcW w:type="auto" w:w="64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8.11, 8.33</w:t>
            </w:r>
          </w:p>
        </w:tc>
        <w:tc>
          <w:tcPr>
            <w:tcW w:type="auto" w:w="760"/>
            <w:tcBorders>
              <w:top w:val="single" w:color="DBEAFE" w:sz="1"/>
              <w:left w:val="single" w:color="DBEAFE" w:sz="1"/>
              <w:bottom w:val="single" w:color="DBEAFE" w:sz="1"/>
              <w:right w:val="single" w:color="DBEAFE" w:sz="1"/>
            </w:tcBorders>
            <w:shd w:fill="FFFFFF" w:val="clear"/>
            <w:tcMar>
              <w:top w:type="dxa" w:w="100"/>
              <w:left w:type="dxa" w:w="80"/>
              <w:bottom w:type="dxa" w:w="100"/>
              <w:right w:type="dxa" w:w="80"/>
            </w:tcMar>
          </w:tcPr>
          <w:p>
            <w:pPr>
              <w:jc w:val="center"/>
            </w:pPr>
            <w:r>
              <w:rPr>
                <w:rFonts w:ascii="Georgia" w:cs="Georgia" w:eastAsia="Georgia" w:hAnsi="Georgia"/>
                <w:i/>
                <w:iCs/>
                <w:color w:val="4B5563"/>
                <w:sz w:val="15"/>
                <w:szCs w:val="15"/>
              </w:rPr>
              <w:t xml:space="preserve">Common</w:t>
            </w:r>
          </w:p>
        </w:tc>
        <w:tc>
          <w:tcPr>
            <w:tcW w:type="auto" w:w="304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7"/>
                <w:szCs w:val="17"/>
              </w:rPr>
              <w:t xml:space="preserve">Personal data from production databases copied to development and test environments without masking. Auditors ask: 'How do you ensure real personal data is not used in non-production environments?' Absence of a masking procedure is a UU PDP gap as well as an Annex A finding.</w:t>
            </w:r>
          </w:p>
        </w:tc>
        <w:tc>
          <w:tcPr>
            <w:tcW w:type="auto" w:w="252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Implement data masking before extraction to non-production. Document the masking procedure. For existing dev/test environments: audit what data is present and execute a one-time cleanse. Going forward: automated masking as part of the refresh process.</w:t>
            </w:r>
          </w:p>
        </w:tc>
      </w:tr>
      <w:tr>
        <w:tc>
          <w:tcPr>
            <w:tcW w:type="auto" w:w="24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Secure coding declared implemented without evidence</w:t>
            </w:r>
          </w:p>
        </w:tc>
        <w:tc>
          <w:tcPr>
            <w:tcW w:type="auto" w:w="64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8.28</w:t>
            </w:r>
          </w:p>
        </w:tc>
        <w:tc>
          <w:tcPr>
            <w:tcW w:type="auto" w:w="760"/>
            <w:tcBorders>
              <w:top w:val="single" w:color="DBEAFE" w:sz="1"/>
              <w:left w:val="single" w:color="DBEAFE" w:sz="1"/>
              <w:bottom w:val="single" w:color="DBEAFE" w:sz="1"/>
              <w:right w:val="single" w:color="DBEAFE" w:sz="1"/>
            </w:tcBorders>
            <w:shd w:fill="F3F4F6" w:val="clear"/>
            <w:tcMar>
              <w:top w:type="dxa" w:w="100"/>
              <w:left w:type="dxa" w:w="80"/>
              <w:bottom w:type="dxa" w:w="100"/>
              <w:right w:type="dxa" w:w="80"/>
            </w:tcMar>
          </w:tcPr>
          <w:p>
            <w:pPr>
              <w:jc w:val="center"/>
            </w:pPr>
            <w:r>
              <w:rPr>
                <w:rFonts w:ascii="Georgia" w:cs="Georgia" w:eastAsia="Georgia" w:hAnsi="Georgia"/>
                <w:i/>
                <w:iCs/>
                <w:color w:val="4B5563"/>
                <w:sz w:val="15"/>
                <w:szCs w:val="15"/>
              </w:rPr>
              <w:t xml:space="preserve">Common</w:t>
            </w:r>
          </w:p>
        </w:tc>
        <w:tc>
          <w:tcPr>
            <w:tcW w:type="auto" w:w="304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7"/>
                <w:szCs w:val="17"/>
              </w:rPr>
              <w:t xml:space="preserve">SoA shows 8.28 implemented. Auditor asks: 'Show me your secure coding standard.' No document exists. 'Show me your SAST integration.' Not in CI/CD. 'Show me developer training records.' Generic security awareness training only. All three elements of 8.28 are missing.</w:t>
            </w:r>
          </w:p>
        </w:tc>
        <w:tc>
          <w:tcPr>
            <w:tcW w:type="auto" w:w="252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Implement all three: (1) Secure Coding Standard document, (2) SAST tool in CI/CD with enforced quality gate, (3) developer-specific training. Do not declare 8.28 implemented in the SoA until all three have evidence.</w:t>
            </w:r>
          </w:p>
        </w:tc>
      </w:tr>
      <w:tr>
        <w:tc>
          <w:tcPr>
            <w:tcW w:type="auto" w:w="24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Network segmentation not demonstrated</w:t>
            </w:r>
          </w:p>
        </w:tc>
        <w:tc>
          <w:tcPr>
            <w:tcW w:type="auto" w:w="64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8.22</w:t>
            </w:r>
          </w:p>
        </w:tc>
        <w:tc>
          <w:tcPr>
            <w:tcW w:type="auto" w:w="760"/>
            <w:tcBorders>
              <w:top w:val="single" w:color="DBEAFE" w:sz="1"/>
              <w:left w:val="single" w:color="DBEAFE" w:sz="1"/>
              <w:bottom w:val="single" w:color="DBEAFE" w:sz="1"/>
              <w:right w:val="single" w:color="DBEAFE" w:sz="1"/>
            </w:tcBorders>
            <w:shd w:fill="FFFFFF" w:val="clear"/>
            <w:tcMar>
              <w:top w:type="dxa" w:w="100"/>
              <w:left w:type="dxa" w:w="80"/>
              <w:bottom w:type="dxa" w:w="100"/>
              <w:right w:type="dxa" w:w="80"/>
            </w:tcMar>
          </w:tcPr>
          <w:p>
            <w:pPr>
              <w:jc w:val="center"/>
            </w:pPr>
            <w:r>
              <w:rPr>
                <w:rFonts w:ascii="Georgia" w:cs="Georgia" w:eastAsia="Georgia" w:hAnsi="Georgia"/>
                <w:i/>
                <w:iCs/>
                <w:color w:val="4B5563"/>
                <w:sz w:val="15"/>
                <w:szCs w:val="15"/>
              </w:rPr>
              <w:t xml:space="preserve">Common</w:t>
            </w:r>
          </w:p>
        </w:tc>
        <w:tc>
          <w:tcPr>
            <w:tcW w:type="auto" w:w="304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7"/>
                <w:szCs w:val="17"/>
              </w:rPr>
              <w:t xml:space="preserve">Network segmentation policy exists but auditor asks for architecture diagram and firewall rules showing that production, development, and test are actually separated. Flat network with no VLAN separation fails this control regardless of documentation.</w:t>
            </w:r>
          </w:p>
        </w:tc>
        <w:tc>
          <w:tcPr>
            <w:tcW w:type="auto" w:w="252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Produce a current network architecture diagram showing zone separation. Show firewall rules enforcing inter-zone controls. If the network is flat: implement VLAN segmentation as a risk treatment action. This is an infrastructure change, not a documentation fix.</w:t>
            </w:r>
          </w:p>
        </w:tc>
      </w:tr>
      <w:tr>
        <w:tc>
          <w:tcPr>
            <w:tcW w:type="auto" w:w="24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No backup restoration testing</w:t>
            </w:r>
          </w:p>
        </w:tc>
        <w:tc>
          <w:tcPr>
            <w:tcW w:type="auto" w:w="64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8.13</w:t>
            </w:r>
          </w:p>
        </w:tc>
        <w:tc>
          <w:tcPr>
            <w:tcW w:type="auto" w:w="760"/>
            <w:tcBorders>
              <w:top w:val="single" w:color="DBEAFE" w:sz="1"/>
              <w:left w:val="single" w:color="DBEAFE" w:sz="1"/>
              <w:bottom w:val="single" w:color="DBEAFE" w:sz="1"/>
              <w:right w:val="single" w:color="DBEAFE" w:sz="1"/>
            </w:tcBorders>
            <w:shd w:fill="F3F4F6" w:val="clear"/>
            <w:tcMar>
              <w:top w:type="dxa" w:w="100"/>
              <w:left w:type="dxa" w:w="80"/>
              <w:bottom w:type="dxa" w:w="100"/>
              <w:right w:type="dxa" w:w="80"/>
            </w:tcMar>
          </w:tcPr>
          <w:p>
            <w:pPr>
              <w:jc w:val="center"/>
            </w:pPr>
            <w:r>
              <w:rPr>
                <w:rFonts w:ascii="Georgia" w:cs="Georgia" w:eastAsia="Georgia" w:hAnsi="Georgia"/>
                <w:i/>
                <w:iCs/>
                <w:color w:val="4B5563"/>
                <w:sz w:val="15"/>
                <w:szCs w:val="15"/>
              </w:rPr>
              <w:t xml:space="preserve">Common</w:t>
            </w:r>
          </w:p>
        </w:tc>
        <w:tc>
          <w:tcPr>
            <w:tcW w:type="auto" w:w="304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7"/>
                <w:szCs w:val="17"/>
              </w:rPr>
              <w:t xml:space="preserve">Backups are running per the backup schedule. But when auditors ask for backup restoration test records, none exist. Backups that have never been tested are unproven — they may not restore correctly when needed.</w:t>
            </w:r>
          </w:p>
        </w:tc>
        <w:tc>
          <w:tcPr>
            <w:tcW w:type="auto" w:w="252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Conduct a documented restoration test for each critical system at least annually. Record: what was restored, from which backup date, to which environment, result, and time taken. Compare RTO achieved vs. target.</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The evidence quality signal: In Domain 8, the gap between 'we have this control' and 'we can evidence this control' is where most audit findings originate. MFA can be deployed — but if you cannot produce the IAM enrollment report during the audit, the auditor cannot verify deployment. Vulnerability scanning can be running — but without documented scan schedules, scan reports, and remediation records, the control cannot be verified. Before Stage 2, conduct an evidence dry run for every Domain 8 control: for each control, attempt to retrieve the evidence that an auditor would ask for. Identify gaps and address them. This exercise consistently surfaces the cases where controls are running but evidence is not being captured.</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Domain 8 and the Indonesian Regulatory Landscape</w:t>
      </w:r>
    </w:p>
    <w:p>
      <w:pPr>
        <w:spacing w:after="80"/>
      </w:pPr>
      <w:r>
        <w:t xml:space="preserve"/>
      </w:r>
    </w:p>
    <w:p>
      <w:pPr>
        <w:spacing w:after="160" w:line="320"/>
        <w:jc w:val="both"/>
      </w:pPr>
      <w:r>
        <w:rPr>
          <w:rFonts w:ascii="Georgia" w:cs="Georgia" w:eastAsia="Georgia" w:hAnsi="Georgia"/>
          <w:color w:val="111827"/>
          <w:sz w:val="22"/>
          <w:szCs w:val="22"/>
        </w:rPr>
        <w:t xml:space="preserve">Several Domain 8 controls have specific relevance to Indonesian regulatory requirements beyond generic ISO 27001 compliance. Understanding these connections prevents the mistake of treating ISO 27001 certification and Indonesian regulatory compliance as separate workstreams:</w:t>
      </w:r>
    </w:p>
    <w:p>
      <w:pPr>
        <w:spacing w:after="80"/>
      </w:pPr>
      <w:r>
        <w:t xml:space="preserve"/>
      </w:r>
    </w:p>
    <w:p>
      <w:pPr>
        <w:pStyle w:val="Heading3"/>
        <w:spacing w:before="280" w:after="120"/>
      </w:pPr>
      <w:r>
        <w:rPr>
          <w:rFonts w:ascii="Arial" w:cs="Arial" w:eastAsia="Arial" w:hAnsi="Arial"/>
          <w:b/>
          <w:bCs/>
          <w:color w:val="2563A8"/>
          <w:sz w:val="24"/>
          <w:szCs w:val="24"/>
        </w:rPr>
        <w:t xml:space="preserve">Bank Indonesia payment system controls and Domain 8</w:t>
      </w:r>
    </w:p>
    <w:p>
      <w:pPr>
        <w:spacing w:after="80"/>
      </w:pPr>
      <w:r>
        <w:t xml:space="preserve"/>
      </w:r>
    </w:p>
    <w:p>
      <w:pPr>
        <w:spacing w:after="160" w:line="320"/>
        <w:jc w:val="both"/>
      </w:pPr>
      <w:r>
        <w:rPr>
          <w:rFonts w:ascii="Georgia" w:cs="Georgia" w:eastAsia="Georgia" w:hAnsi="Georgia"/>
          <w:color w:val="111827"/>
          <w:sz w:val="22"/>
          <w:szCs w:val="22"/>
        </w:rPr>
        <w:t xml:space="preserve">Bank Indonesia's payment system regulation (PBI 23/6/2021) specifies technical security requirements for payment system operators — requirements that map closely to Domain 8 controls. MFA for payment authorization (8.5), network segmentation separating payment systems (8.22), encryption of payment data in transit and at rest (8.24), and logging of all payment transactions (8.15) are all required by BI regulation independently of ISO 27001. Organizations certifying under ISO 27001 while also navigating BI payment system licensing should map their Domain 8 implementation against the BI technical requirements to ensure both are satisfied simultaneously.</w:t>
      </w:r>
    </w:p>
    <w:p>
      <w:pPr>
        <w:spacing w:after="80"/>
      </w:pPr>
      <w:r>
        <w:t xml:space="preserve"/>
      </w:r>
    </w:p>
    <w:p>
      <w:pPr>
        <w:pStyle w:val="Heading3"/>
        <w:spacing w:before="280" w:after="120"/>
      </w:pPr>
      <w:r>
        <w:rPr>
          <w:rFonts w:ascii="Arial" w:cs="Arial" w:eastAsia="Arial" w:hAnsi="Arial"/>
          <w:b/>
          <w:bCs/>
          <w:color w:val="2563A8"/>
          <w:sz w:val="24"/>
          <w:szCs w:val="24"/>
        </w:rPr>
        <w:t xml:space="preserve">POJK IT governance and Domain 8</w:t>
      </w:r>
    </w:p>
    <w:p>
      <w:pPr>
        <w:spacing w:after="80"/>
      </w:pPr>
      <w:r>
        <w:t xml:space="preserve"/>
      </w:r>
    </w:p>
    <w:p>
      <w:pPr>
        <w:spacing w:after="160" w:line="320"/>
        <w:jc w:val="both"/>
      </w:pPr>
      <w:r>
        <w:rPr>
          <w:rFonts w:ascii="Georgia" w:cs="Georgia" w:eastAsia="Georgia" w:hAnsi="Georgia"/>
          <w:color w:val="111827"/>
          <w:sz w:val="22"/>
          <w:szCs w:val="22"/>
        </w:rPr>
        <w:t xml:space="preserve">POJK 11/2022 (IT governance for financial institutions) specifies controls in vulnerability management (8.8), access management (8.2, 8.3, 8.5), change management (8.32), software development security (8.25–8.29), and monitoring (8.15, 8.16). The overlap is substantial — an ISO 27001-compliant implementation of Domain 8 satisfies the majority of POJK 11/2022 technical controls. The key gaps to specifically address: POJK requires formal IT risk management reporting to the board (beyond what ISO 27001 requires in management review), and POJK has specific requirements for IT vendor management that require supplementary supplier security controls beyond what Domain 8 alone addresses.</w:t>
      </w:r>
    </w:p>
    <w:p>
      <w:pPr>
        <w:spacing w:after="80"/>
      </w:pPr>
      <w:r>
        <w:t xml:space="preserve"/>
      </w:r>
    </w:p>
    <w:p>
      <w:pPr>
        <w:pStyle w:val="Heading3"/>
        <w:spacing w:before="280" w:after="120"/>
      </w:pPr>
      <w:r>
        <w:rPr>
          <w:rFonts w:ascii="Arial" w:cs="Arial" w:eastAsia="Arial" w:hAnsi="Arial"/>
          <w:b/>
          <w:bCs/>
          <w:color w:val="2563A8"/>
          <w:sz w:val="24"/>
          <w:szCs w:val="24"/>
        </w:rPr>
        <w:t xml:space="preserve">UU PDP technical controls and Domain 8</w:t>
      </w:r>
    </w:p>
    <w:p>
      <w:pPr>
        <w:spacing w:after="80"/>
      </w:pPr>
      <w:r>
        <w:t xml:space="preserve"/>
      </w:r>
    </w:p>
    <w:p>
      <w:pPr>
        <w:spacing w:after="160" w:line="320"/>
        <w:jc w:val="both"/>
      </w:pPr>
      <w:r>
        <w:rPr>
          <w:rFonts w:ascii="Georgia" w:cs="Georgia" w:eastAsia="Georgia" w:hAnsi="Georgia"/>
          <w:color w:val="111827"/>
          <w:sz w:val="22"/>
          <w:szCs w:val="22"/>
        </w:rPr>
        <w:t xml:space="preserve">UU PDP Article 35 requires that controllers and processors implement appropriate technical and organizational measures to protect personal data. The technical measures in Domain 8 that directly satisfy this article include: encryption (8.24), access controls (8.2, 8.3, 8.5), data masking (8.11), DLP (8.12), deletion (8.10), logging (8.15), and monitoring (8.16). Organizations that implement Domain 8 thoroughly will find that they have satisfied the majority of UU PDP's 'appropriate technical measures' requirement — with the key additional element being the privacy impact assessment and data mapping obligations that ISO 27001 does not directly require but UU PDP does.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Domain 8 Implementation Sequencing</w:t>
      </w:r>
    </w:p>
    <w:p>
      <w:pPr>
        <w:spacing w:after="80"/>
      </w:pPr>
      <w:r>
        <w:t xml:space="preserve"/>
      </w:r>
    </w:p>
    <w:p>
      <w:pPr>
        <w:spacing w:after="160" w:line="320"/>
        <w:jc w:val="both"/>
      </w:pPr>
      <w:r>
        <w:rPr>
          <w:rFonts w:ascii="Georgia" w:cs="Georgia" w:eastAsia="Georgia" w:hAnsi="Georgia"/>
          <w:color w:val="111827"/>
          <w:sz w:val="22"/>
          <w:szCs w:val="22"/>
        </w:rPr>
        <w:t xml:space="preserve">For organizations implementing Domain 8 for the first time, the sequencing of control implementation matters. The following order builds from the highest-impact, most-evidenced controls to the more nuanced and complex:</w:t>
      </w:r>
    </w:p>
    <w:p>
      <w:pPr>
        <w:spacing w:after="80"/>
      </w:pPr>
      <w:r>
        <w:t xml:space="preserve"/>
      </w:r>
    </w:p>
    <w:p>
      <w:pPr>
        <w:pStyle w:val="ListParagraph"/>
        <w:numPr>
          <w:ilvl w:val="0"/>
          <w:numId w:val="2"/>
        </w:numPr>
        <w:spacing w:after="100"/>
      </w:pPr>
      <w:r>
        <w:rPr>
          <w:rFonts w:ascii="Georgia" w:cs="Georgia" w:eastAsia="Georgia" w:hAnsi="Georgia"/>
          <w:color w:val="111827"/>
          <w:sz w:val="22"/>
          <w:szCs w:val="22"/>
        </w:rPr>
        <w:t xml:space="preserve">Phase 1 — Foundations (Month 1–3): MFA everywhere (8.5), vulnerability scanning with documented schedule (8.8), endpoint MDM and encryption (8.1), logging from all critical systems (8.15), backup testing (8.13).</w:t>
      </w:r>
    </w:p>
    <w:p>
      <w:pPr>
        <w:pStyle w:val="ListParagraph"/>
        <w:numPr>
          <w:ilvl w:val="0"/>
          <w:numId w:val="2"/>
        </w:numPr>
        <w:spacing w:after="100"/>
      </w:pPr>
      <w:r>
        <w:rPr>
          <w:rFonts w:ascii="Georgia" w:cs="Georgia" w:eastAsia="Georgia" w:hAnsi="Georgia"/>
          <w:color w:val="111827"/>
          <w:sz w:val="22"/>
          <w:szCs w:val="22"/>
        </w:rPr>
        <w:t xml:space="preserve">Phase 2 — Operations (Month 3–6): Monitoring and alerting with SIEM (8.16), network segmentation documented and evidenced (8.22), privileged access management (8.2), change management with security gate (8.32), configuration baselines for critical systems (8.9).</w:t>
      </w:r>
    </w:p>
    <w:p>
      <w:pPr>
        <w:pStyle w:val="ListParagraph"/>
        <w:numPr>
          <w:ilvl w:val="0"/>
          <w:numId w:val="2"/>
        </w:numPr>
        <w:spacing w:after="100"/>
      </w:pPr>
      <w:r>
        <w:rPr>
          <w:rFonts w:ascii="Georgia" w:cs="Georgia" w:eastAsia="Georgia" w:hAnsi="Georgia"/>
          <w:color w:val="111827"/>
          <w:sz w:val="22"/>
          <w:szCs w:val="22"/>
        </w:rPr>
        <w:t xml:space="preserve">Phase 3 — Data and Development (Month 6–9): DLP implementation (8.12), data masking for non-production environments (8.11), deletion procedure and schedule (8.10), secure coding standard and SAST in CI/CD (8.28), web filtering (8.23).</w:t>
      </w:r>
    </w:p>
    <w:p>
      <w:pPr>
        <w:pStyle w:val="ListParagraph"/>
        <w:numPr>
          <w:ilvl w:val="0"/>
          <w:numId w:val="2"/>
        </w:numPr>
        <w:spacing w:after="100"/>
      </w:pPr>
      <w:r>
        <w:rPr>
          <w:rFonts w:ascii="Georgia" w:cs="Georgia" w:eastAsia="Georgia" w:hAnsi="Georgia"/>
          <w:color w:val="111827"/>
          <w:sz w:val="22"/>
          <w:szCs w:val="22"/>
        </w:rPr>
        <w:t xml:space="preserve">Phase 4 — Architecture and Assurance (Month 9–12): Cryptography policy and key management (8.24), secure SDLC procedure (8.25–8.27), penetration testing for critical applications (8.29), environment separation verification (8.31).</w:t>
      </w:r>
    </w:p>
    <w:p>
      <w:pPr>
        <w:spacing w:after="80"/>
      </w:pPr>
      <w:r>
        <w:t xml:space="preserve"/>
      </w:r>
    </w:p>
    <w:p>
      <w:pPr>
        <w:spacing w:after="160" w:line="320"/>
        <w:jc w:val="both"/>
      </w:pPr>
      <w:r>
        <w:rPr>
          <w:rFonts w:ascii="Georgia" w:cs="Georgia" w:eastAsia="Georgia" w:hAnsi="Georgia"/>
          <w:color w:val="111827"/>
          <w:sz w:val="22"/>
          <w:szCs w:val="22"/>
        </w:rPr>
        <w:t xml:space="preserve">This sequencing prioritizes the controls most likely to be tested at Stage 2 and most likely to generate major NCs if absent, while building operational discipline before addressing more nuanced implementation areas.</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5.6 — Implementing Controls: From SoA to Evidence: How to translate SoA decisions into operational procedures, technical configurations, and the evidence portfolio that satisfies both auditors and regulators.</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2026-03-27T09:20:57.063Z</dcterms:created>
  <dcterms:modified xsi:type="dcterms:W3CDTF">2026-03-27T09:20:57.064Z</dcterms:modified>
</cp:coreProperties>
</file>

<file path=docProps/custom.xml><?xml version="1.0" encoding="utf-8"?>
<Properties xmlns="http://schemas.openxmlformats.org/officeDocument/2006/custom-properties" xmlns:vt="http://schemas.openxmlformats.org/officeDocument/2006/docPropsVTypes"/>
</file>